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C659" w14:textId="77777777" w:rsidR="0075699A" w:rsidRPr="00396978" w:rsidRDefault="00000000">
      <w:pPr>
        <w:pStyle w:val="Heading2"/>
      </w:pPr>
      <w:bookmarkStart w:id="0" w:name="_xo8wzes0zf67" w:colFirst="0" w:colLast="0"/>
      <w:bookmarkEnd w:id="0"/>
      <w:r w:rsidRPr="00396978">
        <w:t>Technical and Professional Communication in the Global Election Supercycle</w:t>
      </w:r>
    </w:p>
    <w:bookmarkStart w:id="1" w:name="_ypf0vt4smshm" w:colFirst="0" w:colLast="0"/>
    <w:bookmarkEnd w:id="1"/>
    <w:p w14:paraId="22EAC65A" w14:textId="77777777" w:rsidR="0075699A" w:rsidRDefault="00000000">
      <w:pPr>
        <w:pStyle w:val="Heading4"/>
        <w:spacing w:before="0" w:after="200"/>
        <w:jc w:val="center"/>
        <w:rPr>
          <w:color w:val="000000"/>
        </w:rPr>
      </w:pPr>
      <w:r>
        <w:fldChar w:fldCharType="begin"/>
      </w:r>
      <w:r>
        <w:instrText>HYPERLINK "https://sites.mst.edu/ryancheek/" \h</w:instrText>
      </w:r>
      <w:r>
        <w:fldChar w:fldCharType="separate"/>
      </w:r>
      <w:r>
        <w:rPr>
          <w:color w:val="1155CC"/>
          <w:u w:val="single"/>
        </w:rPr>
        <w:t>Ryan Cheek, Ph.D.</w:t>
      </w:r>
      <w:r>
        <w:rPr>
          <w:color w:val="1155CC"/>
          <w:u w:val="single"/>
        </w:rPr>
        <w:fldChar w:fldCharType="end"/>
      </w:r>
      <w:r>
        <w:rPr>
          <w:color w:val="000000"/>
        </w:rPr>
        <w:t xml:space="preserve"> (Missouri S&amp;T) &amp; </w:t>
      </w:r>
      <w:hyperlink r:id="rId5">
        <w:r>
          <w:rPr>
            <w:color w:val="1155CC"/>
            <w:u w:val="single"/>
          </w:rPr>
          <w:t xml:space="preserve">Isidore </w:t>
        </w:r>
        <w:proofErr w:type="spellStart"/>
        <w:r>
          <w:rPr>
            <w:color w:val="1155CC"/>
            <w:u w:val="single"/>
          </w:rPr>
          <w:t>Dorpenyo</w:t>
        </w:r>
        <w:proofErr w:type="spellEnd"/>
        <w:r>
          <w:rPr>
            <w:color w:val="1155CC"/>
            <w:u w:val="single"/>
          </w:rPr>
          <w:t xml:space="preserve">, Ph.D. </w:t>
        </w:r>
      </w:hyperlink>
      <w:r>
        <w:rPr>
          <w:color w:val="000000"/>
        </w:rPr>
        <w:t>(George Mason University)</w:t>
      </w:r>
    </w:p>
    <w:p w14:paraId="22EAC65B" w14:textId="77777777" w:rsidR="0075699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By the end of 2024, approximately 3.7 billion people–about half the world’s population–in as many as 72 countries across five continents will have experienced a national election (</w:t>
      </w:r>
      <w:hyperlink r:id="rId6">
        <w:r>
          <w:rPr>
            <w:rFonts w:ascii="Times New Roman" w:eastAsia="Times New Roman" w:hAnsi="Times New Roman" w:cs="Times New Roman"/>
            <w:color w:val="1155CC"/>
            <w:sz w:val="24"/>
            <w:szCs w:val="24"/>
            <w:u w:val="single"/>
          </w:rPr>
          <w:t>United Nations Development Program, 2024</w:t>
        </w:r>
      </w:hyperlink>
      <w:r>
        <w:rPr>
          <w:rFonts w:ascii="Times New Roman" w:eastAsia="Times New Roman" w:hAnsi="Times New Roman" w:cs="Times New Roman"/>
          <w:sz w:val="24"/>
          <w:szCs w:val="24"/>
        </w:rPr>
        <w:t>). High-stakes races in the United States, Taiwan, Russia, Ghana, India, and many more nations arguably make 2024 the most consequential global election cycle in modern history (</w:t>
      </w:r>
      <w:hyperlink r:id="rId7">
        <w:r>
          <w:rPr>
            <w:rFonts w:ascii="Times New Roman" w:eastAsia="Times New Roman" w:hAnsi="Times New Roman" w:cs="Times New Roman"/>
            <w:color w:val="1155CC"/>
            <w:sz w:val="24"/>
            <w:szCs w:val="24"/>
            <w:u w:val="single"/>
          </w:rPr>
          <w:t>Ewe, 2023</w:t>
        </w:r>
      </w:hyperlink>
      <w:r>
        <w:rPr>
          <w:rFonts w:ascii="Times New Roman" w:eastAsia="Times New Roman" w:hAnsi="Times New Roman" w:cs="Times New Roman"/>
          <w:sz w:val="24"/>
          <w:szCs w:val="24"/>
        </w:rPr>
        <w:t xml:space="preserve">; </w:t>
      </w:r>
      <w:hyperlink r:id="rId8">
        <w:proofErr w:type="spellStart"/>
        <w:r>
          <w:rPr>
            <w:rFonts w:ascii="Times New Roman" w:eastAsia="Times New Roman" w:hAnsi="Times New Roman" w:cs="Times New Roman"/>
            <w:color w:val="1155CC"/>
            <w:sz w:val="24"/>
            <w:szCs w:val="24"/>
            <w:u w:val="single"/>
          </w:rPr>
          <w:t>Plackett</w:t>
        </w:r>
        <w:proofErr w:type="spellEnd"/>
        <w:r>
          <w:rPr>
            <w:rFonts w:ascii="Times New Roman" w:eastAsia="Times New Roman" w:hAnsi="Times New Roman" w:cs="Times New Roman"/>
            <w:color w:val="1155CC"/>
            <w:sz w:val="24"/>
            <w:szCs w:val="24"/>
            <w:u w:val="single"/>
          </w:rPr>
          <w:t>, 2024</w:t>
        </w:r>
      </w:hyperlink>
      <w:r>
        <w:rPr>
          <w:rFonts w:ascii="Times New Roman" w:eastAsia="Times New Roman" w:hAnsi="Times New Roman" w:cs="Times New Roman"/>
          <w:sz w:val="24"/>
          <w:szCs w:val="24"/>
        </w:rPr>
        <w:t>). Different types of technologies were deployed to manage many elections during the pandemic (</w:t>
      </w:r>
      <w:hyperlink r:id="rId9">
        <w:r>
          <w:rPr>
            <w:rFonts w:ascii="Times New Roman" w:eastAsia="Times New Roman" w:hAnsi="Times New Roman" w:cs="Times New Roman"/>
            <w:color w:val="1155CC"/>
            <w:sz w:val="24"/>
            <w:szCs w:val="24"/>
            <w:u w:val="single"/>
          </w:rPr>
          <w:t>Mumuni et al, 2024</w:t>
        </w:r>
      </w:hyperlink>
      <w:r>
        <w:rPr>
          <w:rFonts w:ascii="Times New Roman" w:eastAsia="Times New Roman" w:hAnsi="Times New Roman" w:cs="Times New Roman"/>
          <w:sz w:val="24"/>
          <w:szCs w:val="24"/>
        </w:rPr>
        <w:t>); and in several contexts, 2024 is the first major wave of elections after a global health catastrophe–combining “traditional” campaign and election strategies with new and old technologies. National elections in the U.S. have taken an outsized share of media attention, where the outcome has the potential to determine geopolitical order for decades to come (</w:t>
      </w:r>
      <w:proofErr w:type="spellStart"/>
      <w:r>
        <w:fldChar w:fldCharType="begin"/>
      </w:r>
      <w:r>
        <w:instrText>HYPERLINK "https://www.stimson.org/2024/the-impact-of-the-us-presidential-election-on-the-future-of-the-international-order/" \h</w:instrText>
      </w:r>
      <w:r>
        <w:fldChar w:fldCharType="separate"/>
      </w:r>
      <w:r>
        <w:rPr>
          <w:rFonts w:ascii="Times New Roman" w:eastAsia="Times New Roman" w:hAnsi="Times New Roman" w:cs="Times New Roman"/>
          <w:color w:val="1155CC"/>
          <w:sz w:val="24"/>
          <w:szCs w:val="24"/>
          <w:u w:val="single"/>
        </w:rPr>
        <w:t>Darnal</w:t>
      </w:r>
      <w:proofErr w:type="spellEnd"/>
      <w:r>
        <w:rPr>
          <w:rFonts w:ascii="Times New Roman" w:eastAsia="Times New Roman" w:hAnsi="Times New Roman" w:cs="Times New Roman"/>
          <w:color w:val="1155CC"/>
          <w:sz w:val="24"/>
          <w:szCs w:val="24"/>
          <w:u w:val="single"/>
        </w:rPr>
        <w:t xml:space="preserve"> et al., 2024</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Kay, 2024</w:t>
        </w:r>
      </w:hyperlink>
      <w:r>
        <w:rPr>
          <w:rFonts w:ascii="Times New Roman" w:eastAsia="Times New Roman" w:hAnsi="Times New Roman" w:cs="Times New Roman"/>
          <w:sz w:val="24"/>
          <w:szCs w:val="24"/>
        </w:rPr>
        <w:t xml:space="preserve">). However, billions of folks outside the U.S. have voted or will vote for new parliaments, old dictators, and fresh leaders in the most technologically generated, facilitated, and mediated elections in human history. </w:t>
      </w:r>
    </w:p>
    <w:p w14:paraId="22EAC65C" w14:textId="77777777" w:rsidR="0075699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Results on every continent will have both regional and global ramifications (</w:t>
      </w:r>
      <w:hyperlink r:id="rId11">
        <w:r>
          <w:rPr>
            <w:rFonts w:ascii="Times New Roman" w:eastAsia="Times New Roman" w:hAnsi="Times New Roman" w:cs="Times New Roman"/>
            <w:color w:val="1155CC"/>
            <w:sz w:val="24"/>
            <w:szCs w:val="24"/>
            <w:u w:val="single"/>
          </w:rPr>
          <w:t>John &amp; Sen, 2024</w:t>
        </w:r>
      </w:hyperlink>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1155CC"/>
            <w:sz w:val="24"/>
            <w:szCs w:val="24"/>
            <w:u w:val="single"/>
          </w:rPr>
          <w:t>Young, 2024</w:t>
        </w:r>
      </w:hyperlink>
      <w:r>
        <w:rPr>
          <w:rFonts w:ascii="Times New Roman" w:eastAsia="Times New Roman" w:hAnsi="Times New Roman" w:cs="Times New Roman"/>
          <w:sz w:val="24"/>
          <w:szCs w:val="24"/>
        </w:rPr>
        <w:t xml:space="preserve">). Earlier this year, the 2024 election </w:t>
      </w:r>
      <w:proofErr w:type="spellStart"/>
      <w:r>
        <w:rPr>
          <w:rFonts w:ascii="Times New Roman" w:eastAsia="Times New Roman" w:hAnsi="Times New Roman" w:cs="Times New Roman"/>
          <w:sz w:val="24"/>
          <w:szCs w:val="24"/>
        </w:rPr>
        <w:t>supercycle</w:t>
      </w:r>
      <w:proofErr w:type="spellEnd"/>
      <w:r>
        <w:rPr>
          <w:rFonts w:ascii="Times New Roman" w:eastAsia="Times New Roman" w:hAnsi="Times New Roman" w:cs="Times New Roman"/>
          <w:sz w:val="24"/>
          <w:szCs w:val="24"/>
        </w:rPr>
        <w:t xml:space="preserve"> delivered trans-continental far-right election gains in the European Union and power-shifting parliamentary snap contests in the United Kingdom and France. Some countries will have an opportunity to make firsts, like the possibility that the U.S. and Namibia will join Mexico this year in electing women for the first time to their respective presidencies; others are bellwethers in the global conflict between democracy and authoritarianism, such as in Georgia, Moldova, Senegal, and Tunisia. Some elections will be shocking, such as the first far right victory in a German state since World War II, while others </w:t>
      </w:r>
      <w:r>
        <w:rPr>
          <w:rFonts w:ascii="Times New Roman" w:eastAsia="Times New Roman" w:hAnsi="Times New Roman" w:cs="Times New Roman"/>
          <w:i/>
          <w:sz w:val="24"/>
          <w:szCs w:val="24"/>
        </w:rPr>
        <w:t xml:space="preserve">may or may not </w:t>
      </w:r>
      <w:r>
        <w:rPr>
          <w:rFonts w:ascii="Times New Roman" w:eastAsia="Times New Roman" w:hAnsi="Times New Roman" w:cs="Times New Roman"/>
          <w:sz w:val="24"/>
          <w:szCs w:val="24"/>
        </w:rPr>
        <w:t xml:space="preserve">occur on the heels of recent coups such as in Burkina Faso, Guinea, and Mali. </w:t>
      </w:r>
    </w:p>
    <w:p w14:paraId="22EAC65D" w14:textId="77777777" w:rsidR="0075699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evolution of TPC as a discipline has taken many turns to get from an understanding of technical writing as objective and instrumental to embracing technical communication as a vehicle for driving social change. Miller’s (</w:t>
      </w:r>
      <w:hyperlink r:id="rId13">
        <w:r>
          <w:rPr>
            <w:rFonts w:ascii="Times New Roman" w:eastAsia="Times New Roman" w:hAnsi="Times New Roman" w:cs="Times New Roman"/>
            <w:color w:val="1155CC"/>
            <w:sz w:val="24"/>
            <w:szCs w:val="24"/>
            <w:u w:val="single"/>
          </w:rPr>
          <w:t>1979</w:t>
        </w:r>
      </w:hyperlink>
      <w:r>
        <w:rPr>
          <w:rFonts w:ascii="Times New Roman" w:eastAsia="Times New Roman" w:hAnsi="Times New Roman" w:cs="Times New Roman"/>
          <w:sz w:val="24"/>
          <w:szCs w:val="24"/>
        </w:rPr>
        <w:t>) humanistic perspective gave scholars a permission structure and the encouragement to break free from instrumentalist constraints and foci that too often come at the expense of the people behind the documents. From the humanistic perspective came the cultural  turn (</w:t>
      </w:r>
      <w:proofErr w:type="spellStart"/>
      <w:r>
        <w:fldChar w:fldCharType="begin"/>
      </w:r>
      <w:r>
        <w:instrText>HYPERLINK "https://doi.org/10.2190/TW.42.2.e" \h</w:instrText>
      </w:r>
      <w:r>
        <w:fldChar w:fldCharType="separate"/>
      </w:r>
      <w:r>
        <w:rPr>
          <w:rFonts w:ascii="Times New Roman" w:eastAsia="Times New Roman" w:hAnsi="Times New Roman" w:cs="Times New Roman"/>
          <w:color w:val="1155CC"/>
          <w:sz w:val="24"/>
          <w:szCs w:val="24"/>
          <w:u w:val="single"/>
        </w:rPr>
        <w:t>Agboka</w:t>
      </w:r>
      <w:proofErr w:type="spellEnd"/>
      <w:r>
        <w:rPr>
          <w:rFonts w:ascii="Times New Roman" w:eastAsia="Times New Roman" w:hAnsi="Times New Roman" w:cs="Times New Roman"/>
          <w:color w:val="1155CC"/>
          <w:sz w:val="24"/>
          <w:szCs w:val="24"/>
          <w:u w:val="single"/>
        </w:rPr>
        <w:t>, 2012</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color w:val="1155CC"/>
            <w:sz w:val="24"/>
            <w:szCs w:val="24"/>
            <w:u w:val="single"/>
          </w:rPr>
          <w:t>Longo, 1998</w:t>
        </w:r>
      </w:hyperlink>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1155CC"/>
            <w:sz w:val="24"/>
            <w:szCs w:val="24"/>
            <w:u w:val="single"/>
          </w:rPr>
          <w:t>Longo, 2000</w:t>
        </w:r>
      </w:hyperlink>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color w:val="1155CC"/>
            <w:sz w:val="24"/>
            <w:szCs w:val="24"/>
            <w:u w:val="single"/>
          </w:rPr>
          <w:t>Scott, Longo, &amp; Wills, 1993</w:t>
        </w:r>
      </w:hyperlink>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color w:val="1155CC"/>
            <w:sz w:val="24"/>
            <w:szCs w:val="24"/>
            <w:u w:val="single"/>
          </w:rPr>
          <w:t>Scott &amp; Longo, 2006</w:t>
        </w:r>
      </w:hyperlink>
      <w:r>
        <w:rPr>
          <w:rFonts w:ascii="Times New Roman" w:eastAsia="Times New Roman" w:hAnsi="Times New Roman" w:cs="Times New Roman"/>
          <w:sz w:val="24"/>
          <w:szCs w:val="24"/>
        </w:rPr>
        <w:t xml:space="preserve">), empowering TPC scholars to investigate the field’s contributions to violent systems of </w:t>
      </w:r>
      <w:proofErr w:type="spellStart"/>
      <w:r>
        <w:rPr>
          <w:rFonts w:ascii="Times New Roman" w:eastAsia="Times New Roman" w:hAnsi="Times New Roman" w:cs="Times New Roman"/>
          <w:sz w:val="24"/>
          <w:szCs w:val="24"/>
        </w:rPr>
        <w:t>kyriarchal</w:t>
      </w:r>
      <w:proofErr w:type="spellEnd"/>
      <w:r>
        <w:rPr>
          <w:rFonts w:ascii="Times New Roman" w:eastAsia="Times New Roman" w:hAnsi="Times New Roman" w:cs="Times New Roman"/>
          <w:sz w:val="24"/>
          <w:szCs w:val="24"/>
        </w:rPr>
        <w:t xml:space="preserve"> oppression (</w:t>
      </w:r>
      <w:proofErr w:type="spellStart"/>
      <w:r>
        <w:fldChar w:fldCharType="begin"/>
      </w:r>
      <w:r>
        <w:instrText>HYPERLINK "https://www.google.com/books/edition/Congress_of_Wo_men/wEcmEAAAQBAJ?hl=en&amp;gbpv=0" \h</w:instrText>
      </w:r>
      <w:r>
        <w:fldChar w:fldCharType="separate"/>
      </w:r>
      <w:r>
        <w:rPr>
          <w:rFonts w:ascii="Times New Roman" w:eastAsia="Times New Roman" w:hAnsi="Times New Roman" w:cs="Times New Roman"/>
          <w:color w:val="1155CC"/>
          <w:sz w:val="24"/>
          <w:szCs w:val="24"/>
          <w:u w:val="single"/>
        </w:rPr>
        <w:t>Fiorenza</w:t>
      </w:r>
      <w:proofErr w:type="spellEnd"/>
      <w:r>
        <w:rPr>
          <w:rFonts w:ascii="Times New Roman" w:eastAsia="Times New Roman" w:hAnsi="Times New Roman" w:cs="Times New Roman"/>
          <w:color w:val="1155CC"/>
          <w:sz w:val="24"/>
          <w:szCs w:val="24"/>
          <w:u w:val="single"/>
        </w:rPr>
        <w:t>, 2021, p. 45</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xml:space="preserve">). </w:t>
      </w:r>
    </w:p>
    <w:p w14:paraId="22EAC65E" w14:textId="77777777" w:rsidR="0075699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TPC has always been about more than critique, which is why technical communication cultural critics have transitioned into the social justice turn (</w:t>
      </w:r>
      <w:proofErr w:type="spellStart"/>
      <w:r>
        <w:fldChar w:fldCharType="begin"/>
      </w:r>
      <w:r>
        <w:instrText>HYPERLINK "https://www.academia.edu/download/87723633/1-1-full1.pdf" \l "page=35" \h</w:instrText>
      </w:r>
      <w:r>
        <w:fldChar w:fldCharType="separate"/>
      </w:r>
      <w:r>
        <w:rPr>
          <w:rFonts w:ascii="Times New Roman" w:eastAsia="Times New Roman" w:hAnsi="Times New Roman" w:cs="Times New Roman"/>
          <w:color w:val="1155CC"/>
          <w:sz w:val="24"/>
          <w:szCs w:val="24"/>
          <w:u w:val="single"/>
        </w:rPr>
        <w:t>Agboka</w:t>
      </w:r>
      <w:proofErr w:type="spellEnd"/>
      <w:r>
        <w:rPr>
          <w:rFonts w:ascii="Times New Roman" w:eastAsia="Times New Roman" w:hAnsi="Times New Roman" w:cs="Times New Roman"/>
          <w:color w:val="1155CC"/>
          <w:sz w:val="24"/>
          <w:szCs w:val="24"/>
          <w:u w:val="single"/>
        </w:rPr>
        <w:t>, 2013</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xml:space="preserve">; </w:t>
      </w:r>
      <w:hyperlink r:id="rId18">
        <w:proofErr w:type="spellStart"/>
        <w:r>
          <w:rPr>
            <w:rFonts w:ascii="Times New Roman" w:eastAsia="Times New Roman" w:hAnsi="Times New Roman" w:cs="Times New Roman"/>
            <w:color w:val="1155CC"/>
            <w:sz w:val="24"/>
            <w:szCs w:val="24"/>
            <w:u w:val="single"/>
          </w:rPr>
          <w:t>Agboka</w:t>
        </w:r>
        <w:proofErr w:type="spellEnd"/>
        <w:r>
          <w:rPr>
            <w:rFonts w:ascii="Times New Roman" w:eastAsia="Times New Roman" w:hAnsi="Times New Roman" w:cs="Times New Roman"/>
            <w:color w:val="1155CC"/>
            <w:sz w:val="24"/>
            <w:szCs w:val="24"/>
            <w:u w:val="single"/>
          </w:rPr>
          <w:t>, 2014</w:t>
        </w:r>
      </w:hyperlink>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color w:val="1155CC"/>
            <w:sz w:val="24"/>
            <w:szCs w:val="24"/>
            <w:u w:val="single"/>
          </w:rPr>
          <w:t>Jones, 2016</w:t>
        </w:r>
      </w:hyperlink>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1155CC"/>
            <w:sz w:val="24"/>
            <w:szCs w:val="24"/>
            <w:u w:val="single"/>
          </w:rPr>
          <w:t>Walton, Moore, &amp; Jones, 2019</w:t>
        </w:r>
      </w:hyperlink>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1155CC"/>
            <w:sz w:val="24"/>
            <w:szCs w:val="24"/>
            <w:u w:val="single"/>
          </w:rPr>
          <w:t xml:space="preserve">Walton &amp; </w:t>
        </w:r>
        <w:proofErr w:type="spellStart"/>
        <w:r>
          <w:rPr>
            <w:rFonts w:ascii="Times New Roman" w:eastAsia="Times New Roman" w:hAnsi="Times New Roman" w:cs="Times New Roman"/>
            <w:color w:val="1155CC"/>
            <w:sz w:val="24"/>
            <w:szCs w:val="24"/>
            <w:u w:val="single"/>
          </w:rPr>
          <w:t>Agboka</w:t>
        </w:r>
        <w:proofErr w:type="spellEnd"/>
        <w:r>
          <w:rPr>
            <w:rFonts w:ascii="Times New Roman" w:eastAsia="Times New Roman" w:hAnsi="Times New Roman" w:cs="Times New Roman"/>
            <w:color w:val="1155CC"/>
            <w:sz w:val="24"/>
            <w:szCs w:val="24"/>
            <w:u w:val="single"/>
          </w:rPr>
          <w:t>, 2021</w:t>
        </w:r>
      </w:hyperlink>
      <w:r>
        <w:rPr>
          <w:rFonts w:ascii="Times New Roman" w:eastAsia="Times New Roman" w:hAnsi="Times New Roman" w:cs="Times New Roman"/>
          <w:sz w:val="24"/>
          <w:szCs w:val="24"/>
        </w:rPr>
        <w:t>). The social justice turn has been used by TPC scholars to explore and make contributions to political topics such as abortion (</w:t>
      </w:r>
      <w:hyperlink r:id="rId22">
        <w:r>
          <w:rPr>
            <w:rFonts w:ascii="Times New Roman" w:eastAsia="Times New Roman" w:hAnsi="Times New Roman" w:cs="Times New Roman"/>
            <w:color w:val="1155CC"/>
            <w:sz w:val="24"/>
            <w:szCs w:val="24"/>
            <w:u w:val="single"/>
          </w:rPr>
          <w:t>Frost, 2016</w:t>
        </w:r>
      </w:hyperlink>
      <w:r>
        <w:rPr>
          <w:rFonts w:ascii="Times New Roman" w:eastAsia="Times New Roman" w:hAnsi="Times New Roman" w:cs="Times New Roman"/>
          <w:sz w:val="24"/>
          <w:szCs w:val="24"/>
        </w:rPr>
        <w:t>), sex work (</w:t>
      </w:r>
      <w:proofErr w:type="spellStart"/>
      <w:r>
        <w:fldChar w:fldCharType="begin"/>
      </w:r>
      <w:r>
        <w:instrText>HYPERLINK "https://doi.org/10.1177/10506519211044190" \h</w:instrText>
      </w:r>
      <w:r>
        <w:fldChar w:fldCharType="separate"/>
      </w:r>
      <w:r>
        <w:rPr>
          <w:rFonts w:ascii="Times New Roman" w:eastAsia="Times New Roman" w:hAnsi="Times New Roman" w:cs="Times New Roman"/>
          <w:color w:val="1155CC"/>
          <w:sz w:val="24"/>
          <w:szCs w:val="24"/>
          <w:u w:val="single"/>
        </w:rPr>
        <w:t>Itchuaqiyaq</w:t>
      </w:r>
      <w:proofErr w:type="spellEnd"/>
      <w:r>
        <w:rPr>
          <w:rFonts w:ascii="Times New Roman" w:eastAsia="Times New Roman" w:hAnsi="Times New Roman" w:cs="Times New Roman"/>
          <w:color w:val="1155CC"/>
          <w:sz w:val="24"/>
          <w:szCs w:val="24"/>
          <w:u w:val="single"/>
        </w:rPr>
        <w:t>, Edenfield, &amp; Grant-Davie, 2022</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xml:space="preserve">), environmental policy </w:t>
      </w:r>
      <w:r>
        <w:rPr>
          <w:rFonts w:ascii="Times New Roman" w:eastAsia="Times New Roman" w:hAnsi="Times New Roman" w:cs="Times New Roman"/>
          <w:sz w:val="24"/>
          <w:szCs w:val="24"/>
        </w:rPr>
        <w:lastRenderedPageBreak/>
        <w:t>(</w:t>
      </w:r>
      <w:hyperlink r:id="rId23">
        <w:r>
          <w:rPr>
            <w:rFonts w:ascii="Times New Roman" w:eastAsia="Times New Roman" w:hAnsi="Times New Roman" w:cs="Times New Roman"/>
            <w:color w:val="1155CC"/>
            <w:sz w:val="24"/>
            <w:szCs w:val="24"/>
            <w:u w:val="single"/>
          </w:rPr>
          <w:t>Sackey, 2018</w:t>
        </w:r>
      </w:hyperlink>
      <w:r>
        <w:rPr>
          <w:rFonts w:ascii="Times New Roman" w:eastAsia="Times New Roman" w:hAnsi="Times New Roman" w:cs="Times New Roman"/>
          <w:sz w:val="24"/>
          <w:szCs w:val="24"/>
        </w:rPr>
        <w:t>), and immigration (</w:t>
      </w:r>
      <w:proofErr w:type="spellStart"/>
      <w:r>
        <w:fldChar w:fldCharType="begin"/>
      </w:r>
      <w:r>
        <w:instrText>HYPERLINK "https://doi.org/10.1177/0047281620953377" \h</w:instrText>
      </w:r>
      <w:r>
        <w:fldChar w:fldCharType="separate"/>
      </w:r>
      <w:r>
        <w:rPr>
          <w:rFonts w:ascii="Times New Roman" w:eastAsia="Times New Roman" w:hAnsi="Times New Roman" w:cs="Times New Roman"/>
          <w:color w:val="1155CC"/>
          <w:sz w:val="24"/>
          <w:szCs w:val="24"/>
          <w:u w:val="single"/>
        </w:rPr>
        <w:t>Veeramoothoo</w:t>
      </w:r>
      <w:proofErr w:type="spellEnd"/>
      <w:r>
        <w:rPr>
          <w:rFonts w:ascii="Times New Roman" w:eastAsia="Times New Roman" w:hAnsi="Times New Roman" w:cs="Times New Roman"/>
          <w:color w:val="1155CC"/>
          <w:sz w:val="24"/>
          <w:szCs w:val="24"/>
          <w:u w:val="single"/>
        </w:rPr>
        <w:t>, 2022</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xml:space="preserve">). Politically oriented scholarship in TPC has continued to proliferate over the last decade, including a recent trend of TPC scholars investigating and addressing liberal democratic themes of citizenship, civic/public engagement, and elections. </w:t>
      </w:r>
    </w:p>
    <w:p w14:paraId="22EAC65F" w14:textId="77777777" w:rsidR="0075699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wake of the 2016 ATTW conference: Citizenship and Advocacy in Technical Communication, co-chairs Godwin </w:t>
      </w:r>
      <w:proofErr w:type="spellStart"/>
      <w:r>
        <w:rPr>
          <w:rFonts w:ascii="Times New Roman" w:eastAsia="Times New Roman" w:hAnsi="Times New Roman" w:cs="Times New Roman"/>
          <w:sz w:val="24"/>
          <w:szCs w:val="24"/>
        </w:rPr>
        <w:t>Agboka</w:t>
      </w:r>
      <w:proofErr w:type="spellEnd"/>
      <w:r>
        <w:rPr>
          <w:rFonts w:ascii="Times New Roman" w:eastAsia="Times New Roman" w:hAnsi="Times New Roman" w:cs="Times New Roman"/>
          <w:sz w:val="24"/>
          <w:szCs w:val="24"/>
        </w:rPr>
        <w:t xml:space="preserve"> and Natalia Matveeva called on the field to “search for better ways to promote active citizenship beyond the traditional classroom to respond to various social, economic, and environmental issues” (</w:t>
      </w:r>
      <w:proofErr w:type="spellStart"/>
      <w:r>
        <w:fldChar w:fldCharType="begin"/>
      </w:r>
      <w:r>
        <w:instrText>HYPERLINK "https://attwblog.wordpress.com/2016/03/09/from-the-conference-co-chairs/" \h</w:instrText>
      </w:r>
      <w:r>
        <w:fldChar w:fldCharType="separate"/>
      </w:r>
      <w:r>
        <w:rPr>
          <w:rFonts w:ascii="Times New Roman" w:eastAsia="Times New Roman" w:hAnsi="Times New Roman" w:cs="Times New Roman"/>
          <w:color w:val="1155CC"/>
          <w:sz w:val="24"/>
          <w:szCs w:val="24"/>
          <w:u w:val="single"/>
        </w:rPr>
        <w:t>Agboka</w:t>
      </w:r>
      <w:proofErr w:type="spellEnd"/>
      <w:r>
        <w:rPr>
          <w:rFonts w:ascii="Times New Roman" w:eastAsia="Times New Roman" w:hAnsi="Times New Roman" w:cs="Times New Roman"/>
          <w:color w:val="1155CC"/>
          <w:sz w:val="24"/>
          <w:szCs w:val="24"/>
          <w:u w:val="single"/>
        </w:rPr>
        <w:t xml:space="preserve"> &amp; Matveeva, 2016, para. 3</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Responding to this call, there has been an upsurge in TPC research on the practice of politics and the use of electoral technology (</w:t>
      </w:r>
      <w:hyperlink r:id="rId24">
        <w:r>
          <w:rPr>
            <w:rFonts w:ascii="Times New Roman" w:eastAsia="Times New Roman" w:hAnsi="Times New Roman" w:cs="Times New Roman"/>
            <w:color w:val="1155CC"/>
            <w:sz w:val="24"/>
            <w:szCs w:val="24"/>
            <w:u w:val="single"/>
          </w:rPr>
          <w:t>Cheek, 2021</w:t>
        </w:r>
      </w:hyperlink>
      <w:r>
        <w:t xml:space="preserve">; </w:t>
      </w:r>
      <w:hyperlink r:id="rId25">
        <w:proofErr w:type="spellStart"/>
        <w:r>
          <w:rPr>
            <w:rFonts w:ascii="Times New Roman" w:eastAsia="Times New Roman" w:hAnsi="Times New Roman" w:cs="Times New Roman"/>
            <w:color w:val="1155CC"/>
            <w:sz w:val="24"/>
            <w:szCs w:val="24"/>
            <w:u w:val="single"/>
          </w:rPr>
          <w:t>Dorpenyo</w:t>
        </w:r>
        <w:proofErr w:type="spellEnd"/>
        <w:r>
          <w:rPr>
            <w:rFonts w:ascii="Times New Roman" w:eastAsia="Times New Roman" w:hAnsi="Times New Roman" w:cs="Times New Roman"/>
            <w:color w:val="1155CC"/>
            <w:sz w:val="24"/>
            <w:szCs w:val="24"/>
            <w:u w:val="single"/>
          </w:rPr>
          <w:t xml:space="preserve"> &amp; </w:t>
        </w:r>
        <w:proofErr w:type="spellStart"/>
        <w:r>
          <w:rPr>
            <w:rFonts w:ascii="Times New Roman" w:eastAsia="Times New Roman" w:hAnsi="Times New Roman" w:cs="Times New Roman"/>
            <w:color w:val="1155CC"/>
            <w:sz w:val="24"/>
            <w:szCs w:val="24"/>
            <w:u w:val="single"/>
          </w:rPr>
          <w:t>Agboka</w:t>
        </w:r>
        <w:proofErr w:type="spellEnd"/>
        <w:r>
          <w:rPr>
            <w:rFonts w:ascii="Times New Roman" w:eastAsia="Times New Roman" w:hAnsi="Times New Roman" w:cs="Times New Roman"/>
            <w:color w:val="1155CC"/>
            <w:sz w:val="24"/>
            <w:szCs w:val="24"/>
            <w:u w:val="single"/>
          </w:rPr>
          <w:t>, 2018</w:t>
        </w:r>
      </w:hyperlink>
      <w:r>
        <w:rPr>
          <w:rFonts w:ascii="Times New Roman" w:eastAsia="Times New Roman" w:hAnsi="Times New Roman" w:cs="Times New Roman"/>
          <w:sz w:val="24"/>
          <w:szCs w:val="24"/>
        </w:rPr>
        <w:t xml:space="preserve">; </w:t>
      </w:r>
      <w:hyperlink r:id="rId26">
        <w:proofErr w:type="spellStart"/>
        <w:r>
          <w:rPr>
            <w:rFonts w:ascii="Times New Roman" w:eastAsia="Times New Roman" w:hAnsi="Times New Roman" w:cs="Times New Roman"/>
            <w:color w:val="1155CC"/>
            <w:sz w:val="24"/>
            <w:szCs w:val="24"/>
            <w:u w:val="single"/>
          </w:rPr>
          <w:t>Dorpenyo</w:t>
        </w:r>
        <w:proofErr w:type="spellEnd"/>
        <w:r>
          <w:rPr>
            <w:rFonts w:ascii="Times New Roman" w:eastAsia="Times New Roman" w:hAnsi="Times New Roman" w:cs="Times New Roman"/>
            <w:color w:val="1155CC"/>
            <w:sz w:val="24"/>
            <w:szCs w:val="24"/>
            <w:u w:val="single"/>
          </w:rPr>
          <w:t>, 2024</w:t>
        </w:r>
      </w:hyperlink>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color w:val="1155CC"/>
            <w:sz w:val="24"/>
            <w:szCs w:val="24"/>
            <w:u w:val="single"/>
          </w:rPr>
          <w:t>Jones &amp; Williams, 2018</w:t>
        </w:r>
      </w:hyperlink>
      <w:r>
        <w:rPr>
          <w:rFonts w:ascii="Times New Roman" w:eastAsia="Times New Roman" w:hAnsi="Times New Roman" w:cs="Times New Roman"/>
          <w:sz w:val="24"/>
          <w:szCs w:val="24"/>
        </w:rPr>
        <w:t xml:space="preserve">; </w:t>
      </w:r>
      <w:hyperlink r:id="rId28">
        <w:r>
          <w:rPr>
            <w:rFonts w:ascii="Times New Roman" w:eastAsia="Times New Roman" w:hAnsi="Times New Roman" w:cs="Times New Roman"/>
            <w:color w:val="1155CC"/>
            <w:sz w:val="24"/>
            <w:szCs w:val="24"/>
            <w:u w:val="single"/>
          </w:rPr>
          <w:t>Sano-</w:t>
        </w:r>
        <w:proofErr w:type="spellStart"/>
        <w:r>
          <w:rPr>
            <w:rFonts w:ascii="Times New Roman" w:eastAsia="Times New Roman" w:hAnsi="Times New Roman" w:cs="Times New Roman"/>
            <w:color w:val="1155CC"/>
            <w:sz w:val="24"/>
            <w:szCs w:val="24"/>
            <w:u w:val="single"/>
          </w:rPr>
          <w:t>Franchini</w:t>
        </w:r>
        <w:proofErr w:type="spellEnd"/>
        <w:r>
          <w:rPr>
            <w:rFonts w:ascii="Times New Roman" w:eastAsia="Times New Roman" w:hAnsi="Times New Roman" w:cs="Times New Roman"/>
            <w:color w:val="1155CC"/>
            <w:sz w:val="24"/>
            <w:szCs w:val="24"/>
            <w:u w:val="single"/>
          </w:rPr>
          <w:t>, 2018</w:t>
        </w:r>
      </w:hyperlink>
      <w:r>
        <w:rPr>
          <w:rFonts w:ascii="Times New Roman" w:eastAsia="Times New Roman" w:hAnsi="Times New Roman" w:cs="Times New Roman"/>
          <w:sz w:val="24"/>
          <w:szCs w:val="24"/>
        </w:rPr>
        <w:t xml:space="preserve">; </w:t>
      </w:r>
      <w:hyperlink r:id="rId29">
        <w:r>
          <w:rPr>
            <w:rFonts w:ascii="Times New Roman" w:eastAsia="Times New Roman" w:hAnsi="Times New Roman" w:cs="Times New Roman"/>
            <w:color w:val="1155CC"/>
            <w:sz w:val="24"/>
            <w:szCs w:val="24"/>
            <w:u w:val="single"/>
          </w:rPr>
          <w:t>Sánchez, 2022</w:t>
        </w:r>
      </w:hyperlink>
      <w:r>
        <w:rPr>
          <w:rFonts w:ascii="Times New Roman" w:eastAsia="Times New Roman" w:hAnsi="Times New Roman" w:cs="Times New Roman"/>
          <w:sz w:val="24"/>
          <w:szCs w:val="24"/>
        </w:rPr>
        <w:t xml:space="preserve">). We may not consider ourselves “politicians” in the traditional sense, but TPC scholars have effectively demonstrated that political decisions and power are both communicated through and constituted by technical </w:t>
      </w:r>
      <w:proofErr w:type="spellStart"/>
      <w:r>
        <w:rPr>
          <w:rFonts w:ascii="Times New Roman" w:eastAsia="Times New Roman" w:hAnsi="Times New Roman" w:cs="Times New Roman"/>
          <w:sz w:val="24"/>
          <w:szCs w:val="24"/>
        </w:rPr>
        <w:t>rhetorics</w:t>
      </w:r>
      <w:proofErr w:type="spellEnd"/>
      <w:r>
        <w:rPr>
          <w:rFonts w:ascii="Times New Roman" w:eastAsia="Times New Roman" w:hAnsi="Times New Roman" w:cs="Times New Roman"/>
          <w:sz w:val="24"/>
          <w:szCs w:val="24"/>
        </w:rPr>
        <w:t xml:space="preserve">, practices, and pedagogies. </w:t>
      </w:r>
    </w:p>
    <w:p w14:paraId="22EAC660" w14:textId="77777777" w:rsidR="0075699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2025 ATTW hybrid conference will take place on</w:t>
      </w:r>
      <w:r>
        <w:rPr>
          <w:rFonts w:ascii="Times New Roman" w:eastAsia="Times New Roman" w:hAnsi="Times New Roman" w:cs="Times New Roman"/>
          <w:b/>
          <w:sz w:val="24"/>
          <w:szCs w:val="24"/>
        </w:rPr>
        <w:t xml:space="preserve"> June 14-15, </w:t>
      </w:r>
      <w:proofErr w:type="gramStart"/>
      <w:r>
        <w:rPr>
          <w:rFonts w:ascii="Times New Roman" w:eastAsia="Times New Roman" w:hAnsi="Times New Roman" w:cs="Times New Roman"/>
          <w:b/>
          <w:sz w:val="24"/>
          <w:szCs w:val="24"/>
        </w:rPr>
        <w:t>2025</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virtually online and in person at Missouri University of Science and Technology</w:t>
      </w:r>
      <w:r>
        <w:rPr>
          <w:rFonts w:ascii="Times New Roman" w:eastAsia="Times New Roman" w:hAnsi="Times New Roman" w:cs="Times New Roman"/>
          <w:sz w:val="24"/>
          <w:szCs w:val="24"/>
        </w:rPr>
        <w:t xml:space="preserve">. We invite 500-word (exclusive of references) abstracts proposing either a virtual or an in-person presentation examining technical communication in the global election </w:t>
      </w:r>
      <w:proofErr w:type="spellStart"/>
      <w:r>
        <w:rPr>
          <w:rFonts w:ascii="Times New Roman" w:eastAsia="Times New Roman" w:hAnsi="Times New Roman" w:cs="Times New Roman"/>
          <w:sz w:val="24"/>
          <w:szCs w:val="24"/>
        </w:rPr>
        <w:t>supercycle</w:t>
      </w:r>
      <w:proofErr w:type="spellEnd"/>
      <w:r>
        <w:rPr>
          <w:rFonts w:ascii="Times New Roman" w:eastAsia="Times New Roman" w:hAnsi="Times New Roman" w:cs="Times New Roman"/>
          <w:sz w:val="24"/>
          <w:szCs w:val="24"/>
        </w:rPr>
        <w:t xml:space="preserve"> of 2024 and its aftermath. As participatory citizens in democracies, technical communicators have a vital responsibility to ensure elections and their processes are equitable and understandable for all (</w:t>
      </w:r>
      <w:hyperlink r:id="rId30">
        <w:r>
          <w:rPr>
            <w:rFonts w:ascii="Times New Roman" w:eastAsia="Times New Roman" w:hAnsi="Times New Roman" w:cs="Times New Roman"/>
            <w:color w:val="1155CC"/>
            <w:sz w:val="24"/>
            <w:szCs w:val="24"/>
            <w:u w:val="single"/>
          </w:rPr>
          <w:t>Cheek, 2023</w:t>
        </w:r>
      </w:hyperlink>
      <w:r>
        <w:rPr>
          <w:rFonts w:ascii="Times New Roman" w:eastAsia="Times New Roman" w:hAnsi="Times New Roman" w:cs="Times New Roman"/>
          <w:sz w:val="24"/>
          <w:szCs w:val="24"/>
        </w:rPr>
        <w:t xml:space="preserve">; </w:t>
      </w:r>
      <w:hyperlink r:id="rId31">
        <w:proofErr w:type="spellStart"/>
        <w:r>
          <w:rPr>
            <w:rFonts w:ascii="Times New Roman" w:eastAsia="Times New Roman" w:hAnsi="Times New Roman" w:cs="Times New Roman"/>
            <w:color w:val="1155CC"/>
            <w:sz w:val="24"/>
            <w:szCs w:val="24"/>
            <w:u w:val="single"/>
          </w:rPr>
          <w:t>Dorpenyo</w:t>
        </w:r>
        <w:proofErr w:type="spellEnd"/>
        <w:r>
          <w:rPr>
            <w:rFonts w:ascii="Times New Roman" w:eastAsia="Times New Roman" w:hAnsi="Times New Roman" w:cs="Times New Roman"/>
            <w:color w:val="1155CC"/>
            <w:sz w:val="24"/>
            <w:szCs w:val="24"/>
            <w:u w:val="single"/>
          </w:rPr>
          <w:t>, 2016</w:t>
        </w:r>
      </w:hyperlink>
      <w:r>
        <w:rPr>
          <w:rFonts w:ascii="Times New Roman" w:eastAsia="Times New Roman" w:hAnsi="Times New Roman" w:cs="Times New Roman"/>
          <w:sz w:val="24"/>
          <w:szCs w:val="24"/>
        </w:rPr>
        <w:t xml:space="preserve">; </w:t>
      </w:r>
      <w:hyperlink r:id="rId32">
        <w:r>
          <w:rPr>
            <w:rFonts w:ascii="Times New Roman" w:eastAsia="Times New Roman" w:hAnsi="Times New Roman" w:cs="Times New Roman"/>
            <w:color w:val="1155CC"/>
            <w:sz w:val="24"/>
            <w:szCs w:val="24"/>
            <w:u w:val="single"/>
          </w:rPr>
          <w:t>Whitney, 2013</w:t>
        </w:r>
      </w:hyperlink>
      <w:r>
        <w:rPr>
          <w:rFonts w:ascii="Times New Roman" w:eastAsia="Times New Roman" w:hAnsi="Times New Roman" w:cs="Times New Roman"/>
          <w:sz w:val="24"/>
          <w:szCs w:val="24"/>
        </w:rPr>
        <w:t xml:space="preserve">). Living up to that responsibility has become much more difficult in a world flooded by artificial intelligence-boosted mis/disinformation campaigns paired with immense data surveillance technologies. We welcome submissions that critically analyze the roles played by technologies, genres, and information processes in shaping democratic discourse, voter participation, electoral integrity, political messaging, and more. Employing </w:t>
      </w:r>
      <w:hyperlink r:id="rId33">
        <w:proofErr w:type="spellStart"/>
        <w:r>
          <w:rPr>
            <w:rFonts w:ascii="Times New Roman" w:eastAsia="Times New Roman" w:hAnsi="Times New Roman" w:cs="Times New Roman"/>
            <w:color w:val="1155CC"/>
            <w:sz w:val="24"/>
            <w:szCs w:val="24"/>
            <w:u w:val="single"/>
          </w:rPr>
          <w:t>Rude’s</w:t>
        </w:r>
        <w:proofErr w:type="spellEnd"/>
        <w:r>
          <w:rPr>
            <w:rFonts w:ascii="Times New Roman" w:eastAsia="Times New Roman" w:hAnsi="Times New Roman" w:cs="Times New Roman"/>
            <w:color w:val="1155CC"/>
            <w:sz w:val="24"/>
            <w:szCs w:val="24"/>
            <w:u w:val="single"/>
          </w:rPr>
          <w:t xml:space="preserve"> (2009)</w:t>
        </w:r>
      </w:hyperlink>
      <w:r>
        <w:rPr>
          <w:rFonts w:ascii="Times New Roman" w:eastAsia="Times New Roman" w:hAnsi="Times New Roman" w:cs="Times New Roman"/>
          <w:sz w:val="24"/>
          <w:szCs w:val="24"/>
        </w:rPr>
        <w:t xml:space="preserve"> overlapping domains of TPC research questions (disciplinarity, pedagogy, practice, and social change), we offer the following research questions as starting points for discussion:</w:t>
      </w:r>
    </w:p>
    <w:p w14:paraId="22EAC661" w14:textId="77777777" w:rsidR="0075699A" w:rsidRDefault="00000000">
      <w:pPr>
        <w:pStyle w:val="Heading3"/>
      </w:pPr>
      <w:bookmarkStart w:id="2" w:name="_wima09q0v44" w:colFirst="0" w:colLast="0"/>
      <w:bookmarkEnd w:id="2"/>
      <w:r>
        <w:t>Disciplinarity</w:t>
      </w:r>
    </w:p>
    <w:p w14:paraId="22EAC662" w14:textId="77777777" w:rsidR="007569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“Disciplinarity: How shall we know ourselves? What are our definitions, history, status, possible future, and research methods?” (Rude, 2009, p. 176)</w:t>
      </w:r>
    </w:p>
    <w:p w14:paraId="22EAC663"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role does/can technical communication play in combating misinformation and disinformation during elections?</w:t>
      </w:r>
    </w:p>
    <w:p w14:paraId="22EAC664"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history of technical and professional communication (TPC) in electoral politics?</w:t>
      </w:r>
    </w:p>
    <w:p w14:paraId="22EAC665"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has the role of technical and professional communicators in elections of fragile democracies in countries like South Africa and Pakistan evolved?</w:t>
      </w:r>
    </w:p>
    <w:p w14:paraId="22EAC666"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should technical communication define its future role in fast-digitizing democracies such as Mexico and Rwanda?</w:t>
      </w:r>
    </w:p>
    <w:p w14:paraId="22EAC667"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technical communication methods were employed in the 2024 elections?</w:t>
      </w:r>
    </w:p>
    <w:p w14:paraId="22EAC668" w14:textId="77777777" w:rsidR="0075699A"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technical communication in a politically polarized society?</w:t>
      </w:r>
    </w:p>
    <w:p w14:paraId="22EAC669"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technical communication scholars learn from interdisciplinary research on political technology and election systems in cross-border electoral frameworks like the European Union (EU) parliamentary and African Union Commission elections?</w:t>
      </w:r>
    </w:p>
    <w:p w14:paraId="22EAC66A"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and where does technical communication make an impact on the election process?</w:t>
      </w:r>
    </w:p>
    <w:p w14:paraId="22EAC66B"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is technical communication used in the electoral processes of countries with authoritarian leaders?</w:t>
      </w:r>
    </w:p>
    <w:p w14:paraId="22EAC66C" w14:textId="77777777" w:rsidR="0075699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contributions could technical communication research make to promoting electoral integrity and transparency in regions facing political unrest, such as Ethiopia and Mozambique?</w:t>
      </w:r>
    </w:p>
    <w:p w14:paraId="22EAC66D" w14:textId="77777777" w:rsidR="0075699A" w:rsidRDefault="00000000">
      <w:pPr>
        <w:pStyle w:val="Heading3"/>
      </w:pPr>
      <w:bookmarkStart w:id="3" w:name="_b3fbo62o87dz" w:colFirst="0" w:colLast="0"/>
      <w:bookmarkEnd w:id="3"/>
      <w:r>
        <w:t>Pedagogy</w:t>
      </w:r>
    </w:p>
    <w:p w14:paraId="22EAC66E" w14:textId="77777777" w:rsidR="007569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“Pedagogy: What should be the content of our courses and curriculum? How shall we teach students best practices, history, and possibilities? How shall we negotiate competing claims for content and pedagogical methods and compete for academic resources?” (Rude, 2009, p. 176)</w:t>
      </w:r>
    </w:p>
    <w:p w14:paraId="22EAC66F"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should technical communication students care about the processes and results of the 2024 elections?</w:t>
      </w:r>
    </w:p>
    <w:p w14:paraId="22EAC670"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instructional materials best prepare students for careers in political technical communication in countries with rapidly evolving election technology, such as India and South Korea? </w:t>
      </w:r>
    </w:p>
    <w:p w14:paraId="22EAC671"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strategies can help us teach politically engaged citizenship?</w:t>
      </w:r>
    </w:p>
    <w:p w14:paraId="22EAC672"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TPC educators incorporate lessons learned from the 2024 elections?</w:t>
      </w:r>
    </w:p>
    <w:p w14:paraId="22EAC673"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role does/should TPC play in teaching civic literacy, responsibility, and engagement? </w:t>
      </w:r>
    </w:p>
    <w:p w14:paraId="22EAC674"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effective classroom activities that integrate lessons from diverse electoral technologies and challenges in countries like El Salvador and Ghana to teach global technical communication?</w:t>
      </w:r>
    </w:p>
    <w:p w14:paraId="22EAC675"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effective methods for teaching students about the ethical implications of electoral technologies in countries with contested election results?</w:t>
      </w:r>
    </w:p>
    <w:p w14:paraId="22EAC676"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instructors encourage students to think about the global implications of TPC practices in the electoral systems of democracies like the U.S. and autocratic regimes like the Russian Federation?</w:t>
      </w:r>
    </w:p>
    <w:p w14:paraId="22EAC677"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students be taught to critically analyze election-related misinformation and design inoculation strategies in countries facing significant political polarization?</w:t>
      </w:r>
    </w:p>
    <w:p w14:paraId="22EAC678" w14:textId="77777777" w:rsidR="0075699A"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pedagogical strategies are most effective for teaching students about the intersection of social justice, electoral technology, and political communication in countries with high social inequality, like South Africa and Mexico?</w:t>
      </w:r>
    </w:p>
    <w:p w14:paraId="22EAC679" w14:textId="77777777" w:rsidR="0075699A" w:rsidRDefault="00000000">
      <w:pPr>
        <w:pStyle w:val="Heading3"/>
      </w:pPr>
      <w:bookmarkStart w:id="4" w:name="_1imiqhorelxh" w:colFirst="0" w:colLast="0"/>
      <w:bookmarkEnd w:id="4"/>
      <w:r>
        <w:lastRenderedPageBreak/>
        <w:t>Practice</w:t>
      </w:r>
    </w:p>
    <w:p w14:paraId="22EAC67A" w14:textId="77777777" w:rsidR="007569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How should texts be constructed to work effectively and ethically? What design practices include international users and users with disabilities? What are best practices of text development and design? How can content be managed for reuse?” (Rude, 2009, p. 176)</w:t>
      </w:r>
    </w:p>
    <w:p w14:paraId="22EAC67B"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technical communication practices can be identified in the 2024 elections?</w:t>
      </w:r>
    </w:p>
    <w:p w14:paraId="22EAC67C"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did ballot design in different countries contribute to the enfranchisement or disenfranchisement of people with disabilities?</w:t>
      </w:r>
    </w:p>
    <w:p w14:paraId="22EAC67D"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Has the global trend toward digital ballots and online voting negatively impacted public perception of and trust in elections?</w:t>
      </w:r>
    </w:p>
    <w:p w14:paraId="22EAC67E"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ethical implications of generative AI in political communication?</w:t>
      </w:r>
    </w:p>
    <w:p w14:paraId="22EAC67F"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might the study of electoral communication during elections in the European Union and India, where multiple languages and cultural contexts are involved, inform the translation practices of technical communicators?</w:t>
      </w:r>
    </w:p>
    <w:p w14:paraId="22EAC680"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Where was content management and reuse best used in 2024 political campaigns?</w:t>
      </w:r>
    </w:p>
    <w:p w14:paraId="22EAC681"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technical rhetoric influence a voter’s understanding of political campaign issues?</w:t>
      </w:r>
    </w:p>
    <w:p w14:paraId="22EAC682"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and similarities between the design of political websites in X country’s national elections vs. Y countries national elections?</w:t>
      </w:r>
    </w:p>
    <w:p w14:paraId="22EAC683"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TPC practices enhance transparency and fairness in electoral processes in emerging democracies?</w:t>
      </w:r>
    </w:p>
    <w:p w14:paraId="22EAC684" w14:textId="77777777" w:rsidR="0075699A"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can technical communicators facilitate dialogue and understanding between polarized political groups?</w:t>
      </w:r>
    </w:p>
    <w:p w14:paraId="22EAC685" w14:textId="77777777" w:rsidR="0075699A" w:rsidRDefault="00000000">
      <w:pPr>
        <w:pStyle w:val="Heading3"/>
      </w:pPr>
      <w:bookmarkStart w:id="5" w:name="_auhwff3wwpvk" w:colFirst="0" w:colLast="0"/>
      <w:bookmarkEnd w:id="5"/>
      <w:r>
        <w:t>Social Change</w:t>
      </w:r>
    </w:p>
    <w:p w14:paraId="22EAC686" w14:textId="77777777" w:rsidR="007569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Change: How do texts function as agents of knowledge-making, action, and change?” (Rude, 2009, p. 176)</w:t>
      </w:r>
    </w:p>
    <w:p w14:paraId="22EAC687"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TPC interventions are the most effective for voter education and outreach?</w:t>
      </w:r>
    </w:p>
    <w:p w14:paraId="22EAC688"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TPC strategies and techniques combat misinformation and restore public trust in elections?</w:t>
      </w:r>
    </w:p>
    <w:p w14:paraId="22EAC689"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gender and race influence official and unofficial electoral communications?</w:t>
      </w:r>
    </w:p>
    <w:p w14:paraId="22EAC68A"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TPC interventions are the most effective for enhancing electoral integrity and public trust in electoral outcomes?</w:t>
      </w:r>
    </w:p>
    <w:p w14:paraId="22EAC68B"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can TPC support the inclusion of traditionally disenfranchised and underrepresented groups in democratic governance?</w:t>
      </w:r>
    </w:p>
    <w:p w14:paraId="22EAC68C"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might technical communicators aid in designing and implementing accessible election technologies for people with disabilities?</w:t>
      </w:r>
    </w:p>
    <w:p w14:paraId="22EAC68D"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texts mediate voter understanding of complex policy issues during election campaigns in countries with diverse electorates?</w:t>
      </w:r>
    </w:p>
    <w:p w14:paraId="22EAC68E"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TPC strategies that could address voter suppression tactics in countries with a history of electoral violence and intimidation like the United States?</w:t>
      </w:r>
    </w:p>
    <w:p w14:paraId="22EAC68F"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are digital platforms and social media shaping voter perceptions and behaviors in global elections?</w:t>
      </w:r>
    </w:p>
    <w:p w14:paraId="22EAC690" w14:textId="77777777" w:rsidR="0075699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technical communicators aid in expanding ballot access for marginalized and disenfranchised populations?</w:t>
      </w:r>
    </w:p>
    <w:p w14:paraId="22EAC691" w14:textId="77777777" w:rsidR="0075699A" w:rsidRDefault="0075699A">
      <w:pPr>
        <w:rPr>
          <w:rFonts w:ascii="Times New Roman" w:eastAsia="Times New Roman" w:hAnsi="Times New Roman" w:cs="Times New Roman"/>
          <w:sz w:val="24"/>
          <w:szCs w:val="24"/>
        </w:rPr>
      </w:pPr>
    </w:p>
    <w:p w14:paraId="22EAC692" w14:textId="77777777" w:rsidR="0075699A" w:rsidRDefault="00000000">
      <w:r>
        <w:rPr>
          <w:rFonts w:ascii="Times New Roman" w:eastAsia="Times New Roman" w:hAnsi="Times New Roman" w:cs="Times New Roman"/>
          <w:b/>
          <w:sz w:val="24"/>
          <w:szCs w:val="24"/>
        </w:rPr>
        <w:t xml:space="preserve">Please submit your abstracts to </w:t>
      </w:r>
      <w:hyperlink r:id="rId34">
        <w:r>
          <w:rPr>
            <w:rFonts w:ascii="Times New Roman" w:eastAsia="Times New Roman" w:hAnsi="Times New Roman" w:cs="Times New Roman"/>
            <w:b/>
            <w:color w:val="1155CC"/>
            <w:sz w:val="24"/>
            <w:szCs w:val="24"/>
            <w:u w:val="single"/>
          </w:rPr>
          <w:t>attwcon@gmail.com</w:t>
        </w:r>
      </w:hyperlink>
      <w:r>
        <w:rPr>
          <w:rFonts w:ascii="Times New Roman" w:eastAsia="Times New Roman" w:hAnsi="Times New Roman" w:cs="Times New Roman"/>
          <w:b/>
          <w:sz w:val="24"/>
          <w:szCs w:val="24"/>
        </w:rPr>
        <w:t xml:space="preserve"> by December 31st, 2024</w:t>
      </w:r>
      <w:r>
        <w:rPr>
          <w:rFonts w:ascii="Times New Roman" w:eastAsia="Times New Roman" w:hAnsi="Times New Roman" w:cs="Times New Roman"/>
          <w:sz w:val="24"/>
          <w:szCs w:val="24"/>
        </w:rPr>
        <w:t xml:space="preserve">. Teachers, scholars, researchers, and practitioners working at secondary schools, community two-year colleges, public and private universities, for-profit corporations, non-profit organizations, and government agencies are encouraged to submit. All submissions that are received by the deadline will be fully considered for inclusion in the conference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submission is connected to the conference theme. </w:t>
      </w:r>
      <w:r>
        <w:rPr>
          <w:rFonts w:ascii="Times New Roman" w:eastAsia="Times New Roman" w:hAnsi="Times New Roman" w:cs="Times New Roman"/>
          <w:b/>
          <w:sz w:val="24"/>
          <w:szCs w:val="24"/>
        </w:rPr>
        <w:t>For planning purposes and to take full advantage of the virtual medium, authors must specify if they intend to present online or in-person at the time of submission</w:t>
      </w:r>
      <w:r>
        <w:rPr>
          <w:rFonts w:ascii="Times New Roman" w:eastAsia="Times New Roman" w:hAnsi="Times New Roman" w:cs="Times New Roman"/>
          <w:sz w:val="24"/>
          <w:szCs w:val="24"/>
        </w:rPr>
        <w:t>. We expect to return decisions to authors by February 15th and publish a draft of the schedule by March 15th. If you have any questions, please reach out to co-conference Chair and site host Dr. Ryan Cheek (</w:t>
      </w:r>
      <w:hyperlink r:id="rId35">
        <w:r>
          <w:rPr>
            <w:rFonts w:ascii="Times New Roman" w:eastAsia="Times New Roman" w:hAnsi="Times New Roman" w:cs="Times New Roman"/>
            <w:color w:val="1155CC"/>
            <w:sz w:val="24"/>
            <w:szCs w:val="24"/>
            <w:u w:val="single"/>
          </w:rPr>
          <w:t>ryancheek@mst.edu</w:t>
        </w:r>
      </w:hyperlink>
      <w:r>
        <w:rPr>
          <w:rFonts w:ascii="Times New Roman" w:eastAsia="Times New Roman" w:hAnsi="Times New Roman" w:cs="Times New Roman"/>
          <w:sz w:val="24"/>
          <w:szCs w:val="24"/>
        </w:rPr>
        <w:t xml:space="preserve">), ATTW Vice President and co-conference Chair Dr. Isidore </w:t>
      </w:r>
      <w:proofErr w:type="spellStart"/>
      <w:r>
        <w:rPr>
          <w:rFonts w:ascii="Times New Roman" w:eastAsia="Times New Roman" w:hAnsi="Times New Roman" w:cs="Times New Roman"/>
          <w:sz w:val="24"/>
          <w:szCs w:val="24"/>
        </w:rPr>
        <w:t>Dorpenyo</w:t>
      </w:r>
      <w:proofErr w:type="spellEnd"/>
      <w:r>
        <w:rPr>
          <w:rFonts w:ascii="Times New Roman" w:eastAsia="Times New Roman" w:hAnsi="Times New Roman" w:cs="Times New Roman"/>
          <w:sz w:val="24"/>
          <w:szCs w:val="24"/>
        </w:rPr>
        <w:t xml:space="preserve"> (</w:t>
      </w:r>
      <w:hyperlink r:id="rId36">
        <w:r>
          <w:rPr>
            <w:rFonts w:ascii="Times New Roman" w:eastAsia="Times New Roman" w:hAnsi="Times New Roman" w:cs="Times New Roman"/>
            <w:color w:val="1155CC"/>
            <w:sz w:val="24"/>
            <w:szCs w:val="24"/>
            <w:u w:val="single"/>
          </w:rPr>
          <w:t>idorpenyo@gmu.edu</w:t>
        </w:r>
      </w:hyperlink>
      <w:r>
        <w:rPr>
          <w:rFonts w:ascii="Times New Roman" w:eastAsia="Times New Roman" w:hAnsi="Times New Roman" w:cs="Times New Roman"/>
          <w:sz w:val="24"/>
          <w:szCs w:val="24"/>
        </w:rPr>
        <w:t>), or ATTW President Dr. Laura Gonzales (</w:t>
      </w:r>
      <w:hyperlink r:id="rId37">
        <w:r>
          <w:rPr>
            <w:rFonts w:ascii="Times New Roman" w:eastAsia="Times New Roman" w:hAnsi="Times New Roman" w:cs="Times New Roman"/>
            <w:color w:val="1155CC"/>
            <w:sz w:val="24"/>
            <w:szCs w:val="24"/>
            <w:u w:val="single"/>
          </w:rPr>
          <w:t>gonzalesl@ufl.edu</w:t>
        </w:r>
      </w:hyperlink>
      <w:r>
        <w:rPr>
          <w:rFonts w:ascii="Times New Roman" w:eastAsia="Times New Roman" w:hAnsi="Times New Roman" w:cs="Times New Roman"/>
          <w:sz w:val="24"/>
          <w:szCs w:val="24"/>
        </w:rPr>
        <w:t>).</w:t>
      </w:r>
      <w:r>
        <w:br w:type="page"/>
      </w:r>
    </w:p>
    <w:p w14:paraId="22EAC693" w14:textId="77777777" w:rsidR="0075699A" w:rsidRDefault="00000000">
      <w:pPr>
        <w:pStyle w:val="Heading3"/>
      </w:pPr>
      <w:bookmarkStart w:id="6" w:name="_qp08xdughlid" w:colFirst="0" w:colLast="0"/>
      <w:bookmarkEnd w:id="6"/>
      <w:r>
        <w:lastRenderedPageBreak/>
        <w:t>References</w:t>
      </w:r>
    </w:p>
    <w:p w14:paraId="22EAC694"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Agboka</w:t>
      </w:r>
      <w:proofErr w:type="spellEnd"/>
      <w:r>
        <w:rPr>
          <w:rFonts w:ascii="Times New Roman" w:eastAsia="Times New Roman" w:hAnsi="Times New Roman" w:cs="Times New Roman"/>
          <w:sz w:val="24"/>
          <w:szCs w:val="24"/>
        </w:rPr>
        <w:t xml:space="preserve">, G. &amp; Matveeva, N. (2016). </w:t>
      </w:r>
      <w:r>
        <w:rPr>
          <w:rFonts w:ascii="Times New Roman" w:eastAsia="Times New Roman" w:hAnsi="Times New Roman" w:cs="Times New Roman"/>
          <w:i/>
          <w:sz w:val="24"/>
          <w:szCs w:val="24"/>
        </w:rPr>
        <w:t>From the conference co-chairs</w:t>
      </w:r>
      <w:r>
        <w:rPr>
          <w:rFonts w:ascii="Times New Roman" w:eastAsia="Times New Roman" w:hAnsi="Times New Roman" w:cs="Times New Roman"/>
          <w:sz w:val="24"/>
          <w:szCs w:val="24"/>
        </w:rPr>
        <w:t>. Association of Teachers of Technical Writing.</w:t>
      </w:r>
      <w:hyperlink r:id="rId38">
        <w:r>
          <w:rPr>
            <w:rFonts w:ascii="Times New Roman" w:eastAsia="Times New Roman" w:hAnsi="Times New Roman" w:cs="Times New Roman"/>
            <w:sz w:val="24"/>
            <w:szCs w:val="24"/>
          </w:rPr>
          <w:t xml:space="preserve"> </w:t>
        </w:r>
      </w:hyperlink>
      <w:hyperlink r:id="rId39">
        <w:r>
          <w:rPr>
            <w:rFonts w:ascii="Times New Roman" w:eastAsia="Times New Roman" w:hAnsi="Times New Roman" w:cs="Times New Roman"/>
            <w:color w:val="1155CC"/>
            <w:sz w:val="24"/>
            <w:szCs w:val="24"/>
            <w:u w:val="single"/>
          </w:rPr>
          <w:t>https://attwblog.wordpress.com/2016/03/09/from-the-conference-co-chairs/</w:t>
        </w:r>
      </w:hyperlink>
    </w:p>
    <w:p w14:paraId="22EAC695"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Agboka</w:t>
      </w:r>
      <w:proofErr w:type="spellEnd"/>
      <w:r>
        <w:rPr>
          <w:rFonts w:ascii="Times New Roman" w:eastAsia="Times New Roman" w:hAnsi="Times New Roman" w:cs="Times New Roman"/>
          <w:sz w:val="24"/>
          <w:szCs w:val="24"/>
        </w:rPr>
        <w:t xml:space="preserve">, G. Y. (2014). Decolonial methodologies: Social justice perspectives in intercultural technical communication research. </w:t>
      </w:r>
      <w:r>
        <w:rPr>
          <w:rFonts w:ascii="Times New Roman" w:eastAsia="Times New Roman" w:hAnsi="Times New Roman" w:cs="Times New Roman"/>
          <w:i/>
          <w:sz w:val="24"/>
          <w:szCs w:val="24"/>
        </w:rPr>
        <w:t>Journal of Technical Writing and Communication, 44</w:t>
      </w:r>
      <w:r>
        <w:rPr>
          <w:rFonts w:ascii="Times New Roman" w:eastAsia="Times New Roman" w:hAnsi="Times New Roman" w:cs="Times New Roman"/>
          <w:sz w:val="24"/>
          <w:szCs w:val="24"/>
        </w:rPr>
        <w:t xml:space="preserve">(3), 297-327. </w:t>
      </w:r>
      <w:hyperlink r:id="rId40">
        <w:r>
          <w:rPr>
            <w:rFonts w:ascii="Times New Roman" w:eastAsia="Times New Roman" w:hAnsi="Times New Roman" w:cs="Times New Roman"/>
            <w:color w:val="1155CC"/>
            <w:sz w:val="24"/>
            <w:szCs w:val="24"/>
            <w:u w:val="single"/>
          </w:rPr>
          <w:t>https://doi.org/10.2190/TW.44.3.e</w:t>
        </w:r>
      </w:hyperlink>
    </w:p>
    <w:p w14:paraId="22EAC696"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Agboka</w:t>
      </w:r>
      <w:proofErr w:type="spellEnd"/>
      <w:r>
        <w:rPr>
          <w:rFonts w:ascii="Times New Roman" w:eastAsia="Times New Roman" w:hAnsi="Times New Roman" w:cs="Times New Roman"/>
          <w:sz w:val="24"/>
          <w:szCs w:val="24"/>
        </w:rPr>
        <w:t xml:space="preserve">, G. Y. (2013). Thinking about social justice. </w:t>
      </w:r>
      <w:proofErr w:type="spellStart"/>
      <w:r>
        <w:rPr>
          <w:rFonts w:ascii="Times New Roman" w:eastAsia="Times New Roman" w:hAnsi="Times New Roman" w:cs="Times New Roman"/>
          <w:i/>
          <w:sz w:val="24"/>
          <w:szCs w:val="24"/>
        </w:rPr>
        <w:t>Connexions</w:t>
      </w:r>
      <w:proofErr w:type="spellEnd"/>
      <w:r>
        <w:rPr>
          <w:rFonts w:ascii="Times New Roman" w:eastAsia="Times New Roman" w:hAnsi="Times New Roman" w:cs="Times New Roman"/>
          <w:i/>
          <w:sz w:val="24"/>
          <w:szCs w:val="24"/>
        </w:rPr>
        <w:t xml:space="preserve"> International Professional Communication Journal, 1</w:t>
      </w:r>
      <w:r>
        <w:rPr>
          <w:rFonts w:ascii="Times New Roman" w:eastAsia="Times New Roman" w:hAnsi="Times New Roman" w:cs="Times New Roman"/>
          <w:sz w:val="24"/>
          <w:szCs w:val="24"/>
        </w:rPr>
        <w:t xml:space="preserve">(1), 29-38. </w:t>
      </w:r>
    </w:p>
    <w:p w14:paraId="22EAC697"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Agboka</w:t>
      </w:r>
      <w:proofErr w:type="spellEnd"/>
      <w:r>
        <w:rPr>
          <w:rFonts w:ascii="Times New Roman" w:eastAsia="Times New Roman" w:hAnsi="Times New Roman" w:cs="Times New Roman"/>
          <w:sz w:val="24"/>
          <w:szCs w:val="24"/>
        </w:rPr>
        <w:t xml:space="preserve">, G. (2012). Liberating intercultural technical communication from “large culture” ideologies: Constructing culture discursively. </w:t>
      </w:r>
      <w:r>
        <w:rPr>
          <w:rFonts w:ascii="Times New Roman" w:eastAsia="Times New Roman" w:hAnsi="Times New Roman" w:cs="Times New Roman"/>
          <w:i/>
          <w:sz w:val="24"/>
          <w:szCs w:val="24"/>
        </w:rPr>
        <w:t>Journal of Technical Writing and Communication, 42</w:t>
      </w:r>
      <w:r>
        <w:rPr>
          <w:rFonts w:ascii="Times New Roman" w:eastAsia="Times New Roman" w:hAnsi="Times New Roman" w:cs="Times New Roman"/>
          <w:sz w:val="24"/>
          <w:szCs w:val="24"/>
        </w:rPr>
        <w:t xml:space="preserve">(2), 159-181. </w:t>
      </w:r>
      <w:hyperlink r:id="rId41">
        <w:r>
          <w:rPr>
            <w:rFonts w:ascii="Times New Roman" w:eastAsia="Times New Roman" w:hAnsi="Times New Roman" w:cs="Times New Roman"/>
            <w:color w:val="1155CC"/>
            <w:sz w:val="24"/>
            <w:szCs w:val="24"/>
            <w:u w:val="single"/>
          </w:rPr>
          <w:t>https://doi.org/10.2190/TW.42.2.e</w:t>
        </w:r>
      </w:hyperlink>
    </w:p>
    <w:p w14:paraId="22EAC698"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Cheek, R. (2023). Making a case for political technical communication (</w:t>
      </w:r>
      <w:proofErr w:type="spellStart"/>
      <w:r>
        <w:rPr>
          <w:rFonts w:ascii="Times New Roman" w:eastAsia="Times New Roman" w:hAnsi="Times New Roman" w:cs="Times New Roman"/>
          <w:sz w:val="24"/>
          <w:szCs w:val="24"/>
        </w:rPr>
        <w:t>PxTC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Technical Communication Quarterly, 32</w:t>
      </w:r>
      <w:r>
        <w:rPr>
          <w:rFonts w:ascii="Times New Roman" w:eastAsia="Times New Roman" w:hAnsi="Times New Roman" w:cs="Times New Roman"/>
          <w:sz w:val="24"/>
          <w:szCs w:val="24"/>
        </w:rPr>
        <w:t xml:space="preserve">(2), 121-133. </w:t>
      </w:r>
      <w:hyperlink r:id="rId42">
        <w:r>
          <w:rPr>
            <w:rFonts w:ascii="Times New Roman" w:eastAsia="Times New Roman" w:hAnsi="Times New Roman" w:cs="Times New Roman"/>
            <w:color w:val="1155CC"/>
            <w:sz w:val="24"/>
            <w:szCs w:val="24"/>
            <w:u w:val="single"/>
          </w:rPr>
          <w:t>https://doi.org/10.1080/10572252.2022.2079726</w:t>
        </w:r>
      </w:hyperlink>
    </w:p>
    <w:p w14:paraId="22EAC699" w14:textId="77777777" w:rsidR="0075699A"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Cheek, R. (2021). Political technical communication and ideographic communication design in a pre-digital congressional campaign. Communication Design Quarterly Review, 8(4), 4-14. </w:t>
      </w:r>
      <w:hyperlink r:id="rId43">
        <w:r>
          <w:rPr>
            <w:rFonts w:ascii="Times New Roman" w:eastAsia="Times New Roman" w:hAnsi="Times New Roman" w:cs="Times New Roman"/>
            <w:color w:val="1155CC"/>
            <w:u w:val="single"/>
          </w:rPr>
          <w:t>https://doi.org/10.1145/3431932.3431933</w:t>
        </w:r>
      </w:hyperlink>
    </w:p>
    <w:p w14:paraId="22EAC69A"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Darnal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Makdisi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Ògúnmọ́dẹdé</w:t>
      </w:r>
      <w:proofErr w:type="spellEnd"/>
      <w:r>
        <w:rPr>
          <w:rFonts w:ascii="Times New Roman" w:eastAsia="Times New Roman" w:hAnsi="Times New Roman" w:cs="Times New Roman"/>
          <w:sz w:val="24"/>
          <w:szCs w:val="24"/>
        </w:rPr>
        <w:t xml:space="preserve">, C. O., Raha, S., &amp; Gilbert, N. (2024, August 15). </w:t>
      </w:r>
      <w:r>
        <w:rPr>
          <w:rFonts w:ascii="Times New Roman" w:eastAsia="Times New Roman" w:hAnsi="Times New Roman" w:cs="Times New Roman"/>
          <w:i/>
          <w:sz w:val="24"/>
          <w:szCs w:val="24"/>
        </w:rPr>
        <w:t>The impact of the US presidential election on the future of the international order</w:t>
      </w:r>
      <w:r>
        <w:rPr>
          <w:rFonts w:ascii="Times New Roman" w:eastAsia="Times New Roman" w:hAnsi="Times New Roman" w:cs="Times New Roman"/>
          <w:sz w:val="24"/>
          <w:szCs w:val="24"/>
        </w:rPr>
        <w:t>. Stimson Center.</w:t>
      </w:r>
      <w:hyperlink r:id="rId44">
        <w:r>
          <w:rPr>
            <w:rFonts w:ascii="Times New Roman" w:eastAsia="Times New Roman" w:hAnsi="Times New Roman" w:cs="Times New Roman"/>
            <w:sz w:val="24"/>
            <w:szCs w:val="24"/>
          </w:rPr>
          <w:t xml:space="preserve"> </w:t>
        </w:r>
      </w:hyperlink>
      <w:hyperlink r:id="rId45">
        <w:r>
          <w:rPr>
            <w:rFonts w:ascii="Times New Roman" w:eastAsia="Times New Roman" w:hAnsi="Times New Roman" w:cs="Times New Roman"/>
            <w:color w:val="1155CC"/>
            <w:sz w:val="24"/>
            <w:szCs w:val="24"/>
            <w:u w:val="single"/>
          </w:rPr>
          <w:t>https://www.stimson.org/2024/the-impact-of-the-us-presidential-election-on-the-future-of-the-international-order</w:t>
        </w:r>
      </w:hyperlink>
      <w:r>
        <w:rPr>
          <w:rFonts w:ascii="Times New Roman" w:eastAsia="Times New Roman" w:hAnsi="Times New Roman" w:cs="Times New Roman"/>
          <w:sz w:val="24"/>
          <w:szCs w:val="24"/>
        </w:rPr>
        <w:t>/</w:t>
      </w:r>
    </w:p>
    <w:p w14:paraId="22EAC69B" w14:textId="77777777" w:rsidR="0075699A" w:rsidRDefault="00000000">
      <w:pPr>
        <w:ind w:left="720" w:hanging="72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sz w:val="24"/>
          <w:szCs w:val="24"/>
        </w:rPr>
        <w:t>Dorpenyo</w:t>
      </w:r>
      <w:proofErr w:type="spellEnd"/>
      <w:r>
        <w:rPr>
          <w:rFonts w:ascii="Times New Roman" w:eastAsia="Times New Roman" w:hAnsi="Times New Roman" w:cs="Times New Roman"/>
          <w:sz w:val="24"/>
          <w:szCs w:val="24"/>
        </w:rPr>
        <w:t xml:space="preserve">, I. K. (2024). The Fair Fight to Dismantle Voter Suppression: Recognizing Electoral Injustice Through Lived Experiences. </w:t>
      </w:r>
      <w:r>
        <w:rPr>
          <w:rFonts w:ascii="Times New Roman" w:eastAsia="Times New Roman" w:hAnsi="Times New Roman" w:cs="Times New Roman"/>
          <w:i/>
          <w:sz w:val="24"/>
          <w:szCs w:val="24"/>
        </w:rPr>
        <w:t>Journal of Business and Technical Communication, 38</w:t>
      </w:r>
      <w:r>
        <w:rPr>
          <w:rFonts w:ascii="Times New Roman" w:eastAsia="Times New Roman" w:hAnsi="Times New Roman" w:cs="Times New Roman"/>
          <w:sz w:val="24"/>
          <w:szCs w:val="24"/>
        </w:rPr>
        <w:t xml:space="preserve">(1), 1-32. </w:t>
      </w:r>
      <w:hyperlink r:id="rId46">
        <w:r>
          <w:rPr>
            <w:rFonts w:ascii="Times New Roman" w:eastAsia="Times New Roman" w:hAnsi="Times New Roman" w:cs="Times New Roman"/>
            <w:color w:val="1155CC"/>
            <w:sz w:val="24"/>
            <w:szCs w:val="24"/>
            <w:u w:val="single"/>
          </w:rPr>
          <w:t>https://doi.org/10.1177/10506519231199471</w:t>
        </w:r>
      </w:hyperlink>
      <w:r>
        <w:rPr>
          <w:rFonts w:ascii="Times New Roman" w:eastAsia="Times New Roman" w:hAnsi="Times New Roman" w:cs="Times New Roman"/>
          <w:sz w:val="24"/>
          <w:szCs w:val="24"/>
        </w:rPr>
        <w:t xml:space="preserve"> </w:t>
      </w:r>
    </w:p>
    <w:p w14:paraId="22EAC69C"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Dorpenyo</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Agboka</w:t>
      </w:r>
      <w:proofErr w:type="spellEnd"/>
      <w:r>
        <w:rPr>
          <w:rFonts w:ascii="Times New Roman" w:eastAsia="Times New Roman" w:hAnsi="Times New Roman" w:cs="Times New Roman"/>
          <w:sz w:val="24"/>
          <w:szCs w:val="24"/>
        </w:rPr>
        <w:t xml:space="preserve">, G. (2018). Election technologies, technical communication, and civic engagement. </w:t>
      </w:r>
      <w:r>
        <w:rPr>
          <w:rFonts w:ascii="Times New Roman" w:eastAsia="Times New Roman" w:hAnsi="Times New Roman" w:cs="Times New Roman"/>
          <w:i/>
          <w:sz w:val="24"/>
          <w:szCs w:val="24"/>
        </w:rPr>
        <w:t>Technical Communication, 65</w:t>
      </w:r>
      <w:r>
        <w:rPr>
          <w:rFonts w:ascii="Times New Roman" w:eastAsia="Times New Roman" w:hAnsi="Times New Roman" w:cs="Times New Roman"/>
          <w:sz w:val="24"/>
          <w:szCs w:val="24"/>
        </w:rPr>
        <w:t xml:space="preserve">(4), 349-353. </w:t>
      </w:r>
      <w:hyperlink r:id="rId47">
        <w:r>
          <w:rPr>
            <w:rFonts w:ascii="Times New Roman" w:eastAsia="Times New Roman" w:hAnsi="Times New Roman" w:cs="Times New Roman"/>
            <w:color w:val="1155CC"/>
            <w:sz w:val="24"/>
            <w:szCs w:val="24"/>
            <w:u w:val="single"/>
          </w:rPr>
          <w:t>https://www.jstor.org/stable/27301552</w:t>
        </w:r>
      </w:hyperlink>
      <w:r>
        <w:rPr>
          <w:rFonts w:ascii="Times New Roman" w:eastAsia="Times New Roman" w:hAnsi="Times New Roman" w:cs="Times New Roman"/>
          <w:sz w:val="24"/>
          <w:szCs w:val="24"/>
        </w:rPr>
        <w:t xml:space="preserve"> </w:t>
      </w:r>
    </w:p>
    <w:p w14:paraId="22EAC69D" w14:textId="77777777" w:rsidR="0075699A" w:rsidRDefault="00000000">
      <w:pPr>
        <w:ind w:left="720" w:hanging="720"/>
        <w:rPr>
          <w:rFonts w:ascii="Times New Roman" w:eastAsia="Times New Roman" w:hAnsi="Times New Roman" w:cs="Times New Roman"/>
        </w:rPr>
      </w:pPr>
      <w:proofErr w:type="spellStart"/>
      <w:r>
        <w:rPr>
          <w:rFonts w:ascii="Times New Roman" w:eastAsia="Times New Roman" w:hAnsi="Times New Roman" w:cs="Times New Roman"/>
        </w:rPr>
        <w:t>Dorpenyo</w:t>
      </w:r>
      <w:proofErr w:type="spellEnd"/>
      <w:r>
        <w:rPr>
          <w:rFonts w:ascii="Times New Roman" w:eastAsia="Times New Roman" w:hAnsi="Times New Roman" w:cs="Times New Roman"/>
        </w:rPr>
        <w:t>, I. K. (2016). "</w:t>
      </w:r>
      <w:proofErr w:type="spellStart"/>
      <w:r>
        <w:rPr>
          <w:rFonts w:ascii="Times New Roman" w:eastAsia="Times New Roman" w:hAnsi="Times New Roman" w:cs="Times New Roman"/>
        </w:rPr>
        <w:t>Unblackboxing</w:t>
      </w:r>
      <w:proofErr w:type="spellEnd"/>
      <w:r>
        <w:rPr>
          <w:rFonts w:ascii="Times New Roman" w:eastAsia="Times New Roman" w:hAnsi="Times New Roman" w:cs="Times New Roman"/>
        </w:rPr>
        <w:t xml:space="preserve">" technology through the rhetoric of technical communication: Biometric technology and Ghana's 2012 election (Doctoral dissertation, Michigan Technological University). </w:t>
      </w:r>
      <w:hyperlink r:id="rId48">
        <w:r>
          <w:rPr>
            <w:rFonts w:ascii="Times New Roman" w:eastAsia="Times New Roman" w:hAnsi="Times New Roman" w:cs="Times New Roman"/>
            <w:color w:val="1155CC"/>
            <w:u w:val="single"/>
          </w:rPr>
          <w:t>https://digitalcommons.mtu.edu/etdr/125</w:t>
        </w:r>
      </w:hyperlink>
      <w:r>
        <w:rPr>
          <w:rFonts w:ascii="Times New Roman" w:eastAsia="Times New Roman" w:hAnsi="Times New Roman" w:cs="Times New Roman"/>
        </w:rPr>
        <w:t xml:space="preserve"> </w:t>
      </w:r>
    </w:p>
    <w:p w14:paraId="22EAC69E"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Ewe, K. (2023, December 28). Elections around the world in 2024. </w:t>
      </w:r>
      <w:r>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 xml:space="preserve"> </w:t>
      </w:r>
      <w:hyperlink r:id="rId49">
        <w:r>
          <w:rPr>
            <w:rFonts w:ascii="Times New Roman" w:eastAsia="Times New Roman" w:hAnsi="Times New Roman" w:cs="Times New Roman"/>
            <w:color w:val="1155CC"/>
            <w:sz w:val="24"/>
            <w:szCs w:val="24"/>
            <w:u w:val="single"/>
          </w:rPr>
          <w:t>https://time.com/6550920/world-elections-2024/</w:t>
        </w:r>
      </w:hyperlink>
    </w:p>
    <w:p w14:paraId="22EAC69F"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Fiorenza</w:t>
      </w:r>
      <w:proofErr w:type="spellEnd"/>
      <w:r>
        <w:rPr>
          <w:rFonts w:ascii="Times New Roman" w:eastAsia="Times New Roman" w:hAnsi="Times New Roman" w:cs="Times New Roman"/>
          <w:sz w:val="24"/>
          <w:szCs w:val="24"/>
        </w:rPr>
        <w:t xml:space="preserve">, E. S. (2021). Congress of wo/men: religion, gender, and </w:t>
      </w:r>
      <w:proofErr w:type="spellStart"/>
      <w:r>
        <w:rPr>
          <w:rFonts w:ascii="Times New Roman" w:eastAsia="Times New Roman" w:hAnsi="Times New Roman" w:cs="Times New Roman"/>
          <w:sz w:val="24"/>
          <w:szCs w:val="24"/>
        </w:rPr>
        <w:t>kyriarchal</w:t>
      </w:r>
      <w:proofErr w:type="spellEnd"/>
      <w:r>
        <w:rPr>
          <w:rFonts w:ascii="Times New Roman" w:eastAsia="Times New Roman" w:hAnsi="Times New Roman" w:cs="Times New Roman"/>
          <w:sz w:val="24"/>
          <w:szCs w:val="24"/>
        </w:rPr>
        <w:t xml:space="preserve"> power. </w:t>
      </w:r>
      <w:r>
        <w:rPr>
          <w:rFonts w:ascii="Times New Roman" w:eastAsia="Times New Roman" w:hAnsi="Times New Roman" w:cs="Times New Roman"/>
          <w:i/>
          <w:sz w:val="24"/>
          <w:szCs w:val="24"/>
        </w:rPr>
        <w:t>Wipf and Stock Publishers</w:t>
      </w:r>
      <w:r>
        <w:rPr>
          <w:rFonts w:ascii="Times New Roman" w:eastAsia="Times New Roman" w:hAnsi="Times New Roman" w:cs="Times New Roman"/>
          <w:sz w:val="24"/>
          <w:szCs w:val="24"/>
        </w:rPr>
        <w:t xml:space="preserve">. </w:t>
      </w:r>
    </w:p>
    <w:p w14:paraId="22EAC6A0"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Frost, E. A. (2016). Apparent feminism as a methodology for technical communication and rhetoric. Journal of Business and Technical Communication, 30(1), 3-28. </w:t>
      </w:r>
      <w:hyperlink r:id="rId50">
        <w:r>
          <w:rPr>
            <w:rFonts w:ascii="Times New Roman" w:eastAsia="Times New Roman" w:hAnsi="Times New Roman" w:cs="Times New Roman"/>
            <w:color w:val="1155CC"/>
            <w:sz w:val="24"/>
            <w:szCs w:val="24"/>
            <w:u w:val="single"/>
          </w:rPr>
          <w:t>https://doi.org/10.1177/1050651915602295</w:t>
        </w:r>
      </w:hyperlink>
    </w:p>
    <w:p w14:paraId="22EAC6A1" w14:textId="77777777" w:rsidR="0075699A" w:rsidRDefault="00000000">
      <w:pPr>
        <w:ind w:left="720" w:hanging="72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sz w:val="24"/>
          <w:szCs w:val="24"/>
        </w:rPr>
        <w:t>Itchuaqiyaq</w:t>
      </w:r>
      <w:proofErr w:type="spellEnd"/>
      <w:r>
        <w:rPr>
          <w:rFonts w:ascii="Times New Roman" w:eastAsia="Times New Roman" w:hAnsi="Times New Roman" w:cs="Times New Roman"/>
          <w:sz w:val="24"/>
          <w:szCs w:val="24"/>
        </w:rPr>
        <w:t xml:space="preserve">, C. U., Edenfield, A. C., &amp; Grant-Davie, K. (2022). Sex work and professional risk communication: Keeping safe on the streets. Journal of Business and Technical Communication, 36(1), 1-37. </w:t>
      </w:r>
      <w:hyperlink r:id="rId51">
        <w:r>
          <w:rPr>
            <w:rFonts w:ascii="Times New Roman" w:eastAsia="Times New Roman" w:hAnsi="Times New Roman" w:cs="Times New Roman"/>
            <w:color w:val="1155CC"/>
            <w:sz w:val="24"/>
            <w:szCs w:val="24"/>
            <w:u w:val="single"/>
          </w:rPr>
          <w:t>https://doi.org/10.1177/10506519211044190</w:t>
        </w:r>
      </w:hyperlink>
      <w:r>
        <w:rPr>
          <w:rFonts w:ascii="Times New Roman" w:eastAsia="Times New Roman" w:hAnsi="Times New Roman" w:cs="Times New Roman"/>
          <w:sz w:val="24"/>
          <w:szCs w:val="24"/>
        </w:rPr>
        <w:t xml:space="preserve"> </w:t>
      </w:r>
    </w:p>
    <w:p w14:paraId="22EAC6A2"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John, M., &amp; Sen, S. (2023, September 25). </w:t>
      </w:r>
      <w:r>
        <w:rPr>
          <w:rFonts w:ascii="Times New Roman" w:eastAsia="Times New Roman" w:hAnsi="Times New Roman" w:cs="Times New Roman"/>
          <w:i/>
          <w:sz w:val="24"/>
          <w:szCs w:val="24"/>
        </w:rPr>
        <w:t>Global elections 2024: 70+ countries go to the polls</w:t>
      </w:r>
      <w:r>
        <w:rPr>
          <w:rFonts w:ascii="Times New Roman" w:eastAsia="Times New Roman" w:hAnsi="Times New Roman" w:cs="Times New Roman"/>
          <w:sz w:val="24"/>
          <w:szCs w:val="24"/>
        </w:rPr>
        <w:t>. Reuters.</w:t>
      </w:r>
      <w:hyperlink r:id="rId52">
        <w:r>
          <w:rPr>
            <w:rFonts w:ascii="Times New Roman" w:eastAsia="Times New Roman" w:hAnsi="Times New Roman" w:cs="Times New Roman"/>
            <w:sz w:val="24"/>
            <w:szCs w:val="24"/>
          </w:rPr>
          <w:t xml:space="preserve"> </w:t>
        </w:r>
      </w:hyperlink>
      <w:hyperlink r:id="rId53">
        <w:r>
          <w:rPr>
            <w:rFonts w:ascii="Times New Roman" w:eastAsia="Times New Roman" w:hAnsi="Times New Roman" w:cs="Times New Roman"/>
            <w:color w:val="1155CC"/>
            <w:sz w:val="24"/>
            <w:szCs w:val="24"/>
            <w:u w:val="single"/>
          </w:rPr>
          <w:t>https://www.reuters.com/graphics/GLOBAL-ELECTIONS2024/gdvzmkejkpw/</w:t>
        </w:r>
      </w:hyperlink>
    </w:p>
    <w:p w14:paraId="22EAC6A3"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Jones, N. N., &amp; Williams, M. F. (2018). Technologies of disenfranchisement: Literacy tests and black voters in the US from 1890 to 1965. </w:t>
      </w:r>
      <w:r>
        <w:rPr>
          <w:rFonts w:ascii="Times New Roman" w:eastAsia="Times New Roman" w:hAnsi="Times New Roman" w:cs="Times New Roman"/>
          <w:i/>
          <w:sz w:val="24"/>
          <w:szCs w:val="24"/>
        </w:rPr>
        <w:t>Technical Communication, 65</w:t>
      </w:r>
      <w:r>
        <w:rPr>
          <w:rFonts w:ascii="Times New Roman" w:eastAsia="Times New Roman" w:hAnsi="Times New Roman" w:cs="Times New Roman"/>
          <w:sz w:val="24"/>
          <w:szCs w:val="24"/>
        </w:rPr>
        <w:t xml:space="preserve">(4), 371-386. </w:t>
      </w:r>
      <w:hyperlink r:id="rId54">
        <w:r>
          <w:rPr>
            <w:rFonts w:ascii="Times New Roman" w:eastAsia="Times New Roman" w:hAnsi="Times New Roman" w:cs="Times New Roman"/>
            <w:color w:val="1155CC"/>
            <w:sz w:val="24"/>
            <w:szCs w:val="24"/>
            <w:u w:val="single"/>
          </w:rPr>
          <w:t>https://www.jstor.org/stable/27301555</w:t>
        </w:r>
      </w:hyperlink>
      <w:r>
        <w:rPr>
          <w:rFonts w:ascii="Times New Roman" w:eastAsia="Times New Roman" w:hAnsi="Times New Roman" w:cs="Times New Roman"/>
          <w:sz w:val="24"/>
          <w:szCs w:val="24"/>
        </w:rPr>
        <w:t xml:space="preserve"> </w:t>
      </w:r>
    </w:p>
    <w:p w14:paraId="22EAC6A4"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Jones, N. N. (2016). The technical communicator as advocate: Integrating a social justice approach in technical communication. Journal of Technical Writing and Communication, 46(3), 342-361. </w:t>
      </w:r>
      <w:hyperlink r:id="rId55">
        <w:r>
          <w:rPr>
            <w:rFonts w:ascii="Times New Roman" w:eastAsia="Times New Roman" w:hAnsi="Times New Roman" w:cs="Times New Roman"/>
            <w:color w:val="1155CC"/>
            <w:sz w:val="24"/>
            <w:szCs w:val="24"/>
            <w:u w:val="single"/>
          </w:rPr>
          <w:t>https://doi.org/10.1080/10572252.2016.1224655</w:t>
        </w:r>
      </w:hyperlink>
    </w:p>
    <w:p w14:paraId="22EAC6A5"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Longo, B. (1998). An approach for applying cultural study theory to technical writing research. Technical communication quarterly, 7(1), 53-73. </w:t>
      </w:r>
      <w:hyperlink r:id="rId56">
        <w:r>
          <w:rPr>
            <w:rFonts w:ascii="Times New Roman" w:eastAsia="Times New Roman" w:hAnsi="Times New Roman" w:cs="Times New Roman"/>
            <w:color w:val="1155CC"/>
            <w:sz w:val="24"/>
            <w:szCs w:val="24"/>
            <w:u w:val="single"/>
          </w:rPr>
          <w:t>https://doi.org/10.1080/10572259809364617</w:t>
        </w:r>
      </w:hyperlink>
    </w:p>
    <w:p w14:paraId="22EAC6A6"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Plackett</w:t>
      </w:r>
      <w:proofErr w:type="spellEnd"/>
      <w:r>
        <w:rPr>
          <w:rFonts w:ascii="Times New Roman" w:eastAsia="Times New Roman" w:hAnsi="Times New Roman" w:cs="Times New Roman"/>
          <w:sz w:val="24"/>
          <w:szCs w:val="24"/>
        </w:rPr>
        <w:t xml:space="preserve">, B. (2024, June 10). What the science of elections can reveal in this super-election year.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w:t>
      </w:r>
      <w:hyperlink r:id="rId57">
        <w:r>
          <w:rPr>
            <w:rFonts w:ascii="Times New Roman" w:eastAsia="Times New Roman" w:hAnsi="Times New Roman" w:cs="Times New Roman"/>
            <w:color w:val="1155CC"/>
            <w:sz w:val="24"/>
            <w:szCs w:val="24"/>
            <w:u w:val="single"/>
          </w:rPr>
          <w:t>https://doi.org/10.1038/d41586-024-01712-2</w:t>
        </w:r>
      </w:hyperlink>
    </w:p>
    <w:p w14:paraId="22EAC6A7"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Miller, C. R. (1979). A humanistic rationale for technical writing. </w:t>
      </w:r>
      <w:r>
        <w:rPr>
          <w:rFonts w:ascii="Times New Roman" w:eastAsia="Times New Roman" w:hAnsi="Times New Roman" w:cs="Times New Roman"/>
          <w:i/>
          <w:color w:val="222222"/>
          <w:sz w:val="24"/>
          <w:szCs w:val="24"/>
        </w:rPr>
        <w:t>College English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rPr>
        <w:t>40</w:t>
      </w:r>
      <w:r>
        <w:rPr>
          <w:rFonts w:ascii="Times New Roman" w:eastAsia="Times New Roman" w:hAnsi="Times New Roman" w:cs="Times New Roman"/>
          <w:color w:val="222222"/>
          <w:sz w:val="24"/>
          <w:szCs w:val="24"/>
          <w:highlight w:val="white"/>
        </w:rPr>
        <w:t xml:space="preserve">(6), 610-617. </w:t>
      </w:r>
      <w:hyperlink r:id="rId58">
        <w:r>
          <w:rPr>
            <w:rFonts w:ascii="Times New Roman" w:eastAsia="Times New Roman" w:hAnsi="Times New Roman" w:cs="Times New Roman"/>
            <w:color w:val="1155CC"/>
            <w:sz w:val="24"/>
            <w:szCs w:val="24"/>
            <w:highlight w:val="white"/>
            <w:u w:val="single"/>
          </w:rPr>
          <w:t>http://www.jstor.org/stable/375964</w:t>
        </w:r>
      </w:hyperlink>
      <w:r>
        <w:rPr>
          <w:rFonts w:ascii="Times New Roman" w:eastAsia="Times New Roman" w:hAnsi="Times New Roman" w:cs="Times New Roman"/>
          <w:color w:val="222222"/>
          <w:sz w:val="24"/>
          <w:szCs w:val="24"/>
          <w:highlight w:val="white"/>
        </w:rPr>
        <w:t xml:space="preserve"> </w:t>
      </w:r>
    </w:p>
    <w:p w14:paraId="22EAC6A8"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Mumuni, E., Nartey, M., </w:t>
      </w:r>
      <w:proofErr w:type="spellStart"/>
      <w:r>
        <w:rPr>
          <w:rFonts w:ascii="Times New Roman" w:eastAsia="Times New Roman" w:hAnsi="Times New Roman" w:cs="Times New Roman"/>
          <w:sz w:val="24"/>
          <w:szCs w:val="24"/>
        </w:rPr>
        <w:t>Pappoe</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Henaku</w:t>
      </w:r>
      <w:proofErr w:type="spellEnd"/>
      <w:r>
        <w:rPr>
          <w:rFonts w:ascii="Times New Roman" w:eastAsia="Times New Roman" w:hAnsi="Times New Roman" w:cs="Times New Roman"/>
          <w:sz w:val="24"/>
          <w:szCs w:val="24"/>
        </w:rPr>
        <w:t xml:space="preserve">, N., and </w:t>
      </w:r>
      <w:proofErr w:type="spellStart"/>
      <w:r>
        <w:rPr>
          <w:rFonts w:ascii="Times New Roman" w:eastAsia="Times New Roman" w:hAnsi="Times New Roman" w:cs="Times New Roman"/>
          <w:sz w:val="24"/>
          <w:szCs w:val="24"/>
        </w:rPr>
        <w:t>Agbozo</w:t>
      </w:r>
      <w:proofErr w:type="spellEnd"/>
      <w:r>
        <w:rPr>
          <w:rFonts w:ascii="Times New Roman" w:eastAsia="Times New Roman" w:hAnsi="Times New Roman" w:cs="Times New Roman"/>
          <w:sz w:val="24"/>
          <w:szCs w:val="24"/>
        </w:rPr>
        <w:t>, G.E., (</w:t>
      </w:r>
      <w:proofErr w:type="gramStart"/>
      <w:r>
        <w:rPr>
          <w:rFonts w:ascii="Times New Roman" w:eastAsia="Times New Roman" w:hAnsi="Times New Roman" w:cs="Times New Roman"/>
          <w:sz w:val="24"/>
          <w:szCs w:val="24"/>
        </w:rPr>
        <w:t>Eds,.</w:t>
      </w:r>
      <w:proofErr w:type="gramEnd"/>
      <w:r>
        <w:rPr>
          <w:rFonts w:ascii="Times New Roman" w:eastAsia="Times New Roman" w:hAnsi="Times New Roman" w:cs="Times New Roman"/>
          <w:sz w:val="24"/>
          <w:szCs w:val="24"/>
        </w:rPr>
        <w:t xml:space="preserve"> (2024). </w:t>
      </w:r>
      <w:r>
        <w:rPr>
          <w:rFonts w:ascii="Times New Roman" w:eastAsia="Times New Roman" w:hAnsi="Times New Roman" w:cs="Times New Roman"/>
          <w:i/>
          <w:sz w:val="24"/>
          <w:szCs w:val="24"/>
        </w:rPr>
        <w:t>Communication and electoral politics in Ghana: Interrogating transnational technology, discourse, and multimodalities.</w:t>
      </w:r>
      <w:r>
        <w:rPr>
          <w:rFonts w:ascii="Times New Roman" w:eastAsia="Times New Roman" w:hAnsi="Times New Roman" w:cs="Times New Roman"/>
          <w:sz w:val="24"/>
          <w:szCs w:val="24"/>
        </w:rPr>
        <w:t xml:space="preserve"> Palgrave.</w:t>
      </w:r>
    </w:p>
    <w:p w14:paraId="22EAC6A9"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Longo, B. (2000). </w:t>
      </w:r>
      <w:r>
        <w:rPr>
          <w:rFonts w:ascii="Times New Roman" w:eastAsia="Times New Roman" w:hAnsi="Times New Roman" w:cs="Times New Roman"/>
          <w:i/>
          <w:sz w:val="24"/>
          <w:szCs w:val="24"/>
        </w:rPr>
        <w:t xml:space="preserve">Spurious coin: A history of science, management, and technical writing. </w:t>
      </w:r>
      <w:r>
        <w:rPr>
          <w:rFonts w:ascii="Times New Roman" w:eastAsia="Times New Roman" w:hAnsi="Times New Roman" w:cs="Times New Roman"/>
          <w:sz w:val="24"/>
          <w:szCs w:val="24"/>
        </w:rPr>
        <w:t xml:space="preserve">SUNY Press. </w:t>
      </w:r>
    </w:p>
    <w:p w14:paraId="22EAC6AA"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Rude, C. D. (2009). Mapping the research questions in technical communication. Journal of Business and Technical Communication, 23(2), 174-215. </w:t>
      </w:r>
      <w:hyperlink r:id="rId59">
        <w:r>
          <w:rPr>
            <w:rFonts w:ascii="Times New Roman" w:eastAsia="Times New Roman" w:hAnsi="Times New Roman" w:cs="Times New Roman"/>
            <w:color w:val="1155CC"/>
            <w:sz w:val="24"/>
            <w:szCs w:val="24"/>
            <w:u w:val="single"/>
          </w:rPr>
          <w:t>https://doi.org/10.1177/1050651908329562</w:t>
        </w:r>
      </w:hyperlink>
      <w:r>
        <w:rPr>
          <w:rFonts w:ascii="Times New Roman" w:eastAsia="Times New Roman" w:hAnsi="Times New Roman" w:cs="Times New Roman"/>
          <w:sz w:val="24"/>
          <w:szCs w:val="24"/>
        </w:rPr>
        <w:t xml:space="preserve"> </w:t>
      </w:r>
    </w:p>
    <w:p w14:paraId="22EAC6AB"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Sackey, D. J. (2018). An environmental justice paradigm for technical communication. In A. Haas &amp; M. </w:t>
      </w:r>
      <w:proofErr w:type="spellStart"/>
      <w:r>
        <w:rPr>
          <w:rFonts w:ascii="Times New Roman" w:eastAsia="Times New Roman" w:hAnsi="Times New Roman" w:cs="Times New Roman"/>
          <w:sz w:val="24"/>
          <w:szCs w:val="24"/>
        </w:rPr>
        <w:t>Eble</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Key theoretical frameworks: Teaching technical communication in the twenty-first century</w:t>
      </w:r>
      <w:r>
        <w:rPr>
          <w:rFonts w:ascii="Times New Roman" w:eastAsia="Times New Roman" w:hAnsi="Times New Roman" w:cs="Times New Roman"/>
          <w:sz w:val="24"/>
          <w:szCs w:val="24"/>
        </w:rPr>
        <w:t xml:space="preserve">, 138, 160. </w:t>
      </w:r>
      <w:hyperlink r:id="rId60">
        <w:r>
          <w:rPr>
            <w:rFonts w:ascii="Times New Roman" w:eastAsia="Times New Roman" w:hAnsi="Times New Roman" w:cs="Times New Roman"/>
            <w:color w:val="1155CC"/>
            <w:sz w:val="24"/>
            <w:szCs w:val="24"/>
            <w:u w:val="single"/>
          </w:rPr>
          <w:t>https://doi.org/10.7330/9781607327585.c006</w:t>
        </w:r>
      </w:hyperlink>
      <w:r>
        <w:rPr>
          <w:rFonts w:ascii="Times New Roman" w:eastAsia="Times New Roman" w:hAnsi="Times New Roman" w:cs="Times New Roman"/>
          <w:sz w:val="24"/>
          <w:szCs w:val="24"/>
        </w:rPr>
        <w:t xml:space="preserve"> </w:t>
      </w:r>
    </w:p>
    <w:p w14:paraId="22EAC6AC"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Sánchez, F. (2018). Racial gerrymandering and geographic information systems: Subverting the 2011 Texas district map with election technologies. </w:t>
      </w:r>
      <w:r>
        <w:rPr>
          <w:rFonts w:ascii="Times New Roman" w:eastAsia="Times New Roman" w:hAnsi="Times New Roman" w:cs="Times New Roman"/>
          <w:i/>
          <w:sz w:val="24"/>
          <w:szCs w:val="24"/>
        </w:rPr>
        <w:t>Technical Communication, 65</w:t>
      </w:r>
      <w:r>
        <w:rPr>
          <w:rFonts w:ascii="Times New Roman" w:eastAsia="Times New Roman" w:hAnsi="Times New Roman" w:cs="Times New Roman"/>
          <w:sz w:val="24"/>
          <w:szCs w:val="24"/>
        </w:rPr>
        <w:t xml:space="preserve">(4), 354-370. </w:t>
      </w:r>
      <w:hyperlink r:id="rId61">
        <w:r>
          <w:rPr>
            <w:rFonts w:ascii="Times New Roman" w:eastAsia="Times New Roman" w:hAnsi="Times New Roman" w:cs="Times New Roman"/>
            <w:color w:val="1155CC"/>
            <w:sz w:val="24"/>
            <w:szCs w:val="24"/>
            <w:u w:val="single"/>
          </w:rPr>
          <w:t>https://www.jstor.org/stable/27301554</w:t>
        </w:r>
      </w:hyperlink>
      <w:r>
        <w:rPr>
          <w:rFonts w:ascii="Times New Roman" w:eastAsia="Times New Roman" w:hAnsi="Times New Roman" w:cs="Times New Roman"/>
          <w:sz w:val="24"/>
          <w:szCs w:val="24"/>
        </w:rPr>
        <w:t xml:space="preserve"> </w:t>
      </w:r>
    </w:p>
    <w:p w14:paraId="22EAC6AD"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Sano-</w:t>
      </w:r>
      <w:proofErr w:type="spellStart"/>
      <w:r>
        <w:rPr>
          <w:rFonts w:ascii="Times New Roman" w:eastAsia="Times New Roman" w:hAnsi="Times New Roman" w:cs="Times New Roman"/>
          <w:sz w:val="24"/>
          <w:szCs w:val="24"/>
        </w:rPr>
        <w:t>Franchini</w:t>
      </w:r>
      <w:proofErr w:type="spellEnd"/>
      <w:r>
        <w:rPr>
          <w:rFonts w:ascii="Times New Roman" w:eastAsia="Times New Roman" w:hAnsi="Times New Roman" w:cs="Times New Roman"/>
          <w:sz w:val="24"/>
          <w:szCs w:val="24"/>
        </w:rPr>
        <w:t xml:space="preserve">, J. (2018). Designing Outrage, Programming Discord: A Critical Interface Analysis of Facebook as a Campaign Technology. </w:t>
      </w:r>
      <w:r>
        <w:rPr>
          <w:rFonts w:ascii="Times New Roman" w:eastAsia="Times New Roman" w:hAnsi="Times New Roman" w:cs="Times New Roman"/>
          <w:i/>
          <w:sz w:val="24"/>
          <w:szCs w:val="24"/>
        </w:rPr>
        <w:t>Technical Communication, 65</w:t>
      </w:r>
      <w:r>
        <w:rPr>
          <w:rFonts w:ascii="Times New Roman" w:eastAsia="Times New Roman" w:hAnsi="Times New Roman" w:cs="Times New Roman"/>
          <w:sz w:val="24"/>
          <w:szCs w:val="24"/>
        </w:rPr>
        <w:t xml:space="preserve">(4). </w:t>
      </w:r>
      <w:hyperlink r:id="rId62">
        <w:r>
          <w:rPr>
            <w:rFonts w:ascii="Times New Roman" w:eastAsia="Times New Roman" w:hAnsi="Times New Roman" w:cs="Times New Roman"/>
            <w:color w:val="1155CC"/>
            <w:sz w:val="24"/>
            <w:szCs w:val="24"/>
            <w:u w:val="single"/>
          </w:rPr>
          <w:t>https://www.jstor.org/stable/27301556</w:t>
        </w:r>
      </w:hyperlink>
      <w:r>
        <w:rPr>
          <w:rFonts w:ascii="Times New Roman" w:eastAsia="Times New Roman" w:hAnsi="Times New Roman" w:cs="Times New Roman"/>
          <w:sz w:val="24"/>
          <w:szCs w:val="24"/>
        </w:rPr>
        <w:t xml:space="preserve"> </w:t>
      </w:r>
    </w:p>
    <w:p w14:paraId="22EAC6AE"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J. B., Longo, B., &amp; Wills, K. V. (Eds.). (2007). </w:t>
      </w:r>
      <w:r>
        <w:rPr>
          <w:rFonts w:ascii="Times New Roman" w:eastAsia="Times New Roman" w:hAnsi="Times New Roman" w:cs="Times New Roman"/>
          <w:i/>
          <w:sz w:val="24"/>
          <w:szCs w:val="24"/>
        </w:rPr>
        <w:t>Critical power tools: Technical communication and cultural studies</w:t>
      </w:r>
      <w:r>
        <w:rPr>
          <w:rFonts w:ascii="Times New Roman" w:eastAsia="Times New Roman" w:hAnsi="Times New Roman" w:cs="Times New Roman"/>
          <w:sz w:val="24"/>
          <w:szCs w:val="24"/>
        </w:rPr>
        <w:t xml:space="preserve">. SUNY Press. </w:t>
      </w:r>
    </w:p>
    <w:p w14:paraId="22EAC6AF"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Scott, J. B., &amp; Longo, B. (2006). Guest editors' introduction: Making the cultural turn. Technical Communication Quarterly, 15(1), 3-7. </w:t>
      </w:r>
      <w:hyperlink r:id="rId63">
        <w:r>
          <w:rPr>
            <w:rFonts w:ascii="Times New Roman" w:eastAsia="Times New Roman" w:hAnsi="Times New Roman" w:cs="Times New Roman"/>
            <w:color w:val="1155CC"/>
            <w:sz w:val="24"/>
            <w:szCs w:val="24"/>
            <w:u w:val="single"/>
          </w:rPr>
          <w:t>https://doi.org/10.1207/s15427625tcq1501_2</w:t>
        </w:r>
      </w:hyperlink>
      <w:r>
        <w:rPr>
          <w:rFonts w:ascii="Times New Roman" w:eastAsia="Times New Roman" w:hAnsi="Times New Roman" w:cs="Times New Roman"/>
          <w:sz w:val="24"/>
          <w:szCs w:val="24"/>
        </w:rPr>
        <w:t xml:space="preserve"> </w:t>
      </w:r>
    </w:p>
    <w:p w14:paraId="22EAC6B0"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Development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(2024). </w:t>
      </w:r>
      <w:r>
        <w:rPr>
          <w:rFonts w:ascii="Times New Roman" w:eastAsia="Times New Roman" w:hAnsi="Times New Roman" w:cs="Times New Roman"/>
          <w:i/>
          <w:sz w:val="24"/>
          <w:szCs w:val="24"/>
        </w:rPr>
        <w:t>A ‘super year’ for elections</w:t>
      </w:r>
      <w:r>
        <w:rPr>
          <w:rFonts w:ascii="Times New Roman" w:eastAsia="Times New Roman" w:hAnsi="Times New Roman" w:cs="Times New Roman"/>
          <w:sz w:val="24"/>
          <w:szCs w:val="24"/>
        </w:rPr>
        <w:t xml:space="preserve">. </w:t>
      </w:r>
      <w:hyperlink r:id="rId64">
        <w:r>
          <w:rPr>
            <w:rFonts w:ascii="Times New Roman" w:eastAsia="Times New Roman" w:hAnsi="Times New Roman" w:cs="Times New Roman"/>
            <w:color w:val="1155CC"/>
            <w:sz w:val="24"/>
            <w:szCs w:val="24"/>
            <w:u w:val="single"/>
          </w:rPr>
          <w:t>https://www.undp.org/super-year-elections</w:t>
        </w:r>
      </w:hyperlink>
      <w:r>
        <w:rPr>
          <w:rFonts w:ascii="Times New Roman" w:eastAsia="Times New Roman" w:hAnsi="Times New Roman" w:cs="Times New Roman"/>
          <w:sz w:val="24"/>
          <w:szCs w:val="24"/>
        </w:rPr>
        <w:t xml:space="preserve"> </w:t>
      </w:r>
    </w:p>
    <w:p w14:paraId="22EAC6B1" w14:textId="77777777" w:rsidR="0075699A"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Veeramoothoo</w:t>
      </w:r>
      <w:proofErr w:type="spellEnd"/>
      <w:r>
        <w:rPr>
          <w:rFonts w:ascii="Times New Roman" w:eastAsia="Times New Roman" w:hAnsi="Times New Roman" w:cs="Times New Roman"/>
          <w:sz w:val="24"/>
          <w:szCs w:val="24"/>
        </w:rPr>
        <w:t xml:space="preserve">, S. (2022). Social justice and the portrayal of migrants in International Organization for Migration’s World Migration Reports. </w:t>
      </w:r>
      <w:r>
        <w:rPr>
          <w:rFonts w:ascii="Times New Roman" w:eastAsia="Times New Roman" w:hAnsi="Times New Roman" w:cs="Times New Roman"/>
          <w:i/>
          <w:sz w:val="24"/>
          <w:szCs w:val="24"/>
        </w:rPr>
        <w:t>Journal of Technical Writing and Communication, 52</w:t>
      </w:r>
      <w:r>
        <w:rPr>
          <w:rFonts w:ascii="Times New Roman" w:eastAsia="Times New Roman" w:hAnsi="Times New Roman" w:cs="Times New Roman"/>
          <w:sz w:val="24"/>
          <w:szCs w:val="24"/>
        </w:rPr>
        <w:t xml:space="preserve">(1), 57-93. </w:t>
      </w:r>
      <w:hyperlink r:id="rId65">
        <w:r>
          <w:rPr>
            <w:rFonts w:ascii="Times New Roman" w:eastAsia="Times New Roman" w:hAnsi="Times New Roman" w:cs="Times New Roman"/>
            <w:color w:val="1155CC"/>
            <w:sz w:val="24"/>
            <w:szCs w:val="24"/>
            <w:u w:val="single"/>
          </w:rPr>
          <w:t>https://doi.org/10.1177/0047281620953377</w:t>
        </w:r>
      </w:hyperlink>
    </w:p>
    <w:p w14:paraId="22EAC6B2"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Walton, R., &amp; </w:t>
      </w:r>
      <w:proofErr w:type="spellStart"/>
      <w:r>
        <w:rPr>
          <w:rFonts w:ascii="Times New Roman" w:eastAsia="Times New Roman" w:hAnsi="Times New Roman" w:cs="Times New Roman"/>
          <w:sz w:val="24"/>
          <w:szCs w:val="24"/>
        </w:rPr>
        <w:t>Agboka</w:t>
      </w:r>
      <w:proofErr w:type="spellEnd"/>
      <w:r>
        <w:rPr>
          <w:rFonts w:ascii="Times New Roman" w:eastAsia="Times New Roman" w:hAnsi="Times New Roman" w:cs="Times New Roman"/>
          <w:sz w:val="24"/>
          <w:szCs w:val="24"/>
        </w:rPr>
        <w:t xml:space="preserve">, G. Y. (Eds.). (2021). </w:t>
      </w:r>
      <w:r>
        <w:rPr>
          <w:rFonts w:ascii="Times New Roman" w:eastAsia="Times New Roman" w:hAnsi="Times New Roman" w:cs="Times New Roman"/>
          <w:i/>
          <w:sz w:val="24"/>
          <w:szCs w:val="24"/>
        </w:rPr>
        <w:t>Equipping technical communicators for social justice work: Theories, methodologies, and pedagogies</w:t>
      </w:r>
      <w:r>
        <w:rPr>
          <w:rFonts w:ascii="Times New Roman" w:eastAsia="Times New Roman" w:hAnsi="Times New Roman" w:cs="Times New Roman"/>
          <w:sz w:val="24"/>
          <w:szCs w:val="24"/>
        </w:rPr>
        <w:t>. University Press of Colorado.</w:t>
      </w:r>
    </w:p>
    <w:p w14:paraId="22EAC6B3" w14:textId="77777777" w:rsidR="0075699A"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Walton, R., Moore, K., &amp; Jones, N. (2019). Technical communication after the social justice </w:t>
      </w:r>
      <w:proofErr w:type="gramStart"/>
      <w:r>
        <w:rPr>
          <w:rFonts w:ascii="Times New Roman" w:eastAsia="Times New Roman" w:hAnsi="Times New Roman" w:cs="Times New Roman"/>
          <w:sz w:val="24"/>
          <w:szCs w:val="24"/>
        </w:rPr>
        <w:t>turn</w:t>
      </w:r>
      <w:proofErr w:type="gramEnd"/>
      <w:r>
        <w:rPr>
          <w:rFonts w:ascii="Times New Roman" w:eastAsia="Times New Roman" w:hAnsi="Times New Roman" w:cs="Times New Roman"/>
          <w:sz w:val="24"/>
          <w:szCs w:val="24"/>
        </w:rPr>
        <w:t xml:space="preserve">: Building coalitions for action. Routledge. </w:t>
      </w:r>
      <w:hyperlink r:id="rId66">
        <w:r>
          <w:rPr>
            <w:rFonts w:ascii="Times New Roman" w:eastAsia="Times New Roman" w:hAnsi="Times New Roman" w:cs="Times New Roman"/>
            <w:color w:val="1155CC"/>
            <w:sz w:val="24"/>
            <w:szCs w:val="24"/>
            <w:u w:val="single"/>
          </w:rPr>
          <w:t>https://doi.org/10.4324/9780429198748</w:t>
        </w:r>
      </w:hyperlink>
    </w:p>
    <w:p w14:paraId="22EAC6B4" w14:textId="77777777" w:rsidR="0075699A" w:rsidRDefault="00000000">
      <w:pPr>
        <w:ind w:left="720" w:hanging="720"/>
      </w:pPr>
      <w:r>
        <w:t xml:space="preserve">Whitney, J. G. (2013). The 2010 citizens clean elections voter education guide: Constructing the “illegal immigrant” in the Arizona voter. </w:t>
      </w:r>
      <w:r>
        <w:rPr>
          <w:i/>
        </w:rPr>
        <w:t>Journal of Technical Writing and Communication, 43</w:t>
      </w:r>
      <w:r>
        <w:t xml:space="preserve">(4), 437-455. </w:t>
      </w:r>
      <w:hyperlink r:id="rId67">
        <w:r>
          <w:rPr>
            <w:color w:val="1155CC"/>
            <w:u w:val="single"/>
          </w:rPr>
          <w:t>https://doi.org/10.2190/TW.43.4.f</w:t>
        </w:r>
      </w:hyperlink>
    </w:p>
    <w:p w14:paraId="22EAC6B5" w14:textId="77777777" w:rsidR="0075699A"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 D. K. (2024). Election </w:t>
      </w:r>
      <w:proofErr w:type="spellStart"/>
      <w:r>
        <w:rPr>
          <w:rFonts w:ascii="Times New Roman" w:eastAsia="Times New Roman" w:hAnsi="Times New Roman" w:cs="Times New Roman"/>
          <w:sz w:val="24"/>
          <w:szCs w:val="24"/>
        </w:rPr>
        <w:t>supercycle</w:t>
      </w:r>
      <w:proofErr w:type="spellEnd"/>
      <w:r>
        <w:rPr>
          <w:rFonts w:ascii="Times New Roman" w:eastAsia="Times New Roman" w:hAnsi="Times New Roman" w:cs="Times New Roman"/>
          <w:sz w:val="24"/>
          <w:szCs w:val="24"/>
        </w:rPr>
        <w:t xml:space="preserve"> underpins millionaire migration trends. </w:t>
      </w:r>
      <w:r>
        <w:rPr>
          <w:rFonts w:ascii="Times New Roman" w:eastAsia="Times New Roman" w:hAnsi="Times New Roman" w:cs="Times New Roman"/>
          <w:i/>
          <w:sz w:val="24"/>
          <w:szCs w:val="24"/>
        </w:rPr>
        <w:t>Henley &amp; Partners</w:t>
      </w:r>
      <w:r>
        <w:rPr>
          <w:rFonts w:ascii="Times New Roman" w:eastAsia="Times New Roman" w:hAnsi="Times New Roman" w:cs="Times New Roman"/>
          <w:sz w:val="24"/>
          <w:szCs w:val="24"/>
        </w:rPr>
        <w:t xml:space="preserve">. </w:t>
      </w:r>
      <w:hyperlink r:id="rId68">
        <w:r>
          <w:rPr>
            <w:rFonts w:ascii="Times New Roman" w:eastAsia="Times New Roman" w:hAnsi="Times New Roman" w:cs="Times New Roman"/>
            <w:color w:val="1155CC"/>
            <w:sz w:val="24"/>
            <w:szCs w:val="24"/>
            <w:u w:val="single"/>
          </w:rPr>
          <w:t>https://www.henleyglobal.com/publications/centi-millionaire-report-2024/election-supercycle-underpins-millionaire-migration-trends</w:t>
        </w:r>
      </w:hyperlink>
    </w:p>
    <w:sectPr w:rsidR="007569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3DE1"/>
    <w:multiLevelType w:val="multilevel"/>
    <w:tmpl w:val="60BEB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C749D5"/>
    <w:multiLevelType w:val="multilevel"/>
    <w:tmpl w:val="8E0E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46F45"/>
    <w:multiLevelType w:val="multilevel"/>
    <w:tmpl w:val="D6EEE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B6655E"/>
    <w:multiLevelType w:val="multilevel"/>
    <w:tmpl w:val="1662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9617133">
    <w:abstractNumId w:val="1"/>
  </w:num>
  <w:num w:numId="2" w16cid:durableId="1438981913">
    <w:abstractNumId w:val="2"/>
  </w:num>
  <w:num w:numId="3" w16cid:durableId="1860848038">
    <w:abstractNumId w:val="0"/>
  </w:num>
  <w:num w:numId="4" w16cid:durableId="1821850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9A"/>
    <w:rsid w:val="00396978"/>
    <w:rsid w:val="00676D35"/>
    <w:rsid w:val="0075699A"/>
    <w:rsid w:val="00EA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AC659"/>
  <w15:docId w15:val="{A4622174-041C-9A49-BA07-631510D2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jc w:val="center"/>
      <w:outlineLvl w:val="1"/>
    </w:pPr>
    <w:rPr>
      <w:rFonts w:ascii="Times New Roman" w:eastAsia="Times New Roman" w:hAnsi="Times New Roman" w:cs="Times New Roman"/>
      <w:b/>
      <w:sz w:val="28"/>
      <w:szCs w:val="28"/>
    </w:rPr>
  </w:style>
  <w:style w:type="paragraph" w:styleId="Heading3">
    <w:name w:val="heading 3"/>
    <w:basedOn w:val="Normal"/>
    <w:next w:val="Normal"/>
    <w:uiPriority w:val="9"/>
    <w:unhideWhenUsed/>
    <w:qFormat/>
    <w:pPr>
      <w:keepNext/>
      <w:keepLines/>
      <w:spacing w:before="320" w:after="80"/>
      <w:outlineLvl w:val="2"/>
    </w:pPr>
    <w:rPr>
      <w:rFonts w:ascii="Times New Roman" w:eastAsia="Times New Roman" w:hAnsi="Times New Roman" w:cs="Times New Roman"/>
      <w:color w:val="434343"/>
      <w:sz w:val="28"/>
      <w:szCs w:val="28"/>
    </w:rPr>
  </w:style>
  <w:style w:type="paragraph" w:styleId="Heading4">
    <w:name w:val="heading 4"/>
    <w:basedOn w:val="Normal"/>
    <w:next w:val="Normal"/>
    <w:uiPriority w:val="9"/>
    <w:unhideWhenUsed/>
    <w:qFormat/>
    <w:pPr>
      <w:keepNext/>
      <w:keepLines/>
      <w:spacing w:before="280" w:after="80"/>
      <w:outlineLvl w:val="3"/>
    </w:pPr>
    <w:rPr>
      <w:rFonts w:ascii="Times New Roman" w:eastAsia="Times New Roman" w:hAnsi="Times New Roman" w:cs="Times New Roman"/>
      <w:i/>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oi.org/10.1177/10506519231199471" TargetMode="External"/><Relationship Id="rId21" Type="http://schemas.openxmlformats.org/officeDocument/2006/relationships/hyperlink" Target="https://www.google.com/books/edition/Equipping_Technical_Communicators_for_So/2CEsEAAAQBAJ?hl=en&amp;gbpv=0" TargetMode="External"/><Relationship Id="rId42" Type="http://schemas.openxmlformats.org/officeDocument/2006/relationships/hyperlink" Target="https://doi.org/10.1080/10572252.2022.2079726" TargetMode="External"/><Relationship Id="rId47" Type="http://schemas.openxmlformats.org/officeDocument/2006/relationships/hyperlink" Target="https://www.jstor.org/stable/27301552" TargetMode="External"/><Relationship Id="rId63" Type="http://schemas.openxmlformats.org/officeDocument/2006/relationships/hyperlink" Target="https://doi.org/10.1207/s15427625tcq1501_2" TargetMode="External"/><Relationship Id="rId68" Type="http://schemas.openxmlformats.org/officeDocument/2006/relationships/hyperlink" Target="https://www.henleyglobal.com/publications/centi-millionaire-report-2024/election-supercycle-underpins-millionaire-migration-trends" TargetMode="External"/><Relationship Id="rId7" Type="http://schemas.openxmlformats.org/officeDocument/2006/relationships/hyperlink" Target="https://time.com/6550920/world-elections-2024/" TargetMode="External"/><Relationship Id="rId2" Type="http://schemas.openxmlformats.org/officeDocument/2006/relationships/styles" Target="styles.xml"/><Relationship Id="rId16" Type="http://schemas.openxmlformats.org/officeDocument/2006/relationships/hyperlink" Target="https://www.google.com/books/edition/Critical_Power_Tools/rRJQELy1-sQC?hl=en&amp;gbpv=0" TargetMode="External"/><Relationship Id="rId29" Type="http://schemas.openxmlformats.org/officeDocument/2006/relationships/hyperlink" Target="https://www.jstor.org/stable/27301554" TargetMode="External"/><Relationship Id="rId11" Type="http://schemas.openxmlformats.org/officeDocument/2006/relationships/hyperlink" Target="https://www.reuters.com/graphics/GLOBAL-ELECTIONS2024/gdvzmkejkpw/" TargetMode="External"/><Relationship Id="rId24" Type="http://schemas.openxmlformats.org/officeDocument/2006/relationships/hyperlink" Target="https://doi.org/10.1145/3431932.3431933" TargetMode="External"/><Relationship Id="rId32" Type="http://schemas.openxmlformats.org/officeDocument/2006/relationships/hyperlink" Target="https://doi.org/10.2190/TW.43.4.f" TargetMode="External"/><Relationship Id="rId37" Type="http://schemas.openxmlformats.org/officeDocument/2006/relationships/hyperlink" Target="mailto:gonzalesl@ufl.edu" TargetMode="External"/><Relationship Id="rId40" Type="http://schemas.openxmlformats.org/officeDocument/2006/relationships/hyperlink" Target="https://doi.org/10.2190/TW.44.3.e" TargetMode="External"/><Relationship Id="rId45" Type="http://schemas.openxmlformats.org/officeDocument/2006/relationships/hyperlink" Target="https://www.stimson.org/2024/the-impact-of-the-us-presidential-election-on-the-future-of-the-international-order/" TargetMode="External"/><Relationship Id="rId53" Type="http://schemas.openxmlformats.org/officeDocument/2006/relationships/hyperlink" Target="https://www.reuters.com/graphics/GLOBAL-ELECTIONS2024/gdvzmkejkpw/" TargetMode="External"/><Relationship Id="rId58" Type="http://schemas.openxmlformats.org/officeDocument/2006/relationships/hyperlink" Target="http://www.jstor.org/stable/375964" TargetMode="External"/><Relationship Id="rId66" Type="http://schemas.openxmlformats.org/officeDocument/2006/relationships/hyperlink" Target="https://doi.org/10.4324/9780429198748" TargetMode="External"/><Relationship Id="rId5" Type="http://schemas.openxmlformats.org/officeDocument/2006/relationships/hyperlink" Target="https://english.gmu.edu/people/idorpeny" TargetMode="External"/><Relationship Id="rId61" Type="http://schemas.openxmlformats.org/officeDocument/2006/relationships/hyperlink" Target="https://www.jstor.org/stable/27301554" TargetMode="External"/><Relationship Id="rId19" Type="http://schemas.openxmlformats.org/officeDocument/2006/relationships/hyperlink" Target="https://doi.org/10.1080/10572252.2016.1224655" TargetMode="External"/><Relationship Id="rId14" Type="http://schemas.openxmlformats.org/officeDocument/2006/relationships/hyperlink" Target="https://doi.org/10.1080/10572259809364617" TargetMode="External"/><Relationship Id="rId22" Type="http://schemas.openxmlformats.org/officeDocument/2006/relationships/hyperlink" Target="https://doi.org/10.1177/1050651915602295" TargetMode="External"/><Relationship Id="rId27" Type="http://schemas.openxmlformats.org/officeDocument/2006/relationships/hyperlink" Target="https://www.jstor.org/stable/27301555" TargetMode="External"/><Relationship Id="rId30" Type="http://schemas.openxmlformats.org/officeDocument/2006/relationships/hyperlink" Target="https://doi.org/10.1080/10572252.2022.2079726" TargetMode="External"/><Relationship Id="rId35" Type="http://schemas.openxmlformats.org/officeDocument/2006/relationships/hyperlink" Target="mailto:ryancheek@mst.edu" TargetMode="External"/><Relationship Id="rId43" Type="http://schemas.openxmlformats.org/officeDocument/2006/relationships/hyperlink" Target="https://doi.org/10.1145/3431932.3431933" TargetMode="External"/><Relationship Id="rId48" Type="http://schemas.openxmlformats.org/officeDocument/2006/relationships/hyperlink" Target="https://digitalcommons.mtu.edu/etdr/125" TargetMode="External"/><Relationship Id="rId56" Type="http://schemas.openxmlformats.org/officeDocument/2006/relationships/hyperlink" Target="https://doi.org/10.1080/10572259809364617" TargetMode="External"/><Relationship Id="rId64" Type="http://schemas.openxmlformats.org/officeDocument/2006/relationships/hyperlink" Target="https://www.undp.org/super-year-elections" TargetMode="External"/><Relationship Id="rId69" Type="http://schemas.openxmlformats.org/officeDocument/2006/relationships/fontTable" Target="fontTable.xml"/><Relationship Id="rId8" Type="http://schemas.openxmlformats.org/officeDocument/2006/relationships/hyperlink" Target="https://doi.org/10.1038/d41586-024-01712-2" TargetMode="External"/><Relationship Id="rId51" Type="http://schemas.openxmlformats.org/officeDocument/2006/relationships/hyperlink" Target="https://doi.org/10.1177/10506519211044190" TargetMode="External"/><Relationship Id="rId3" Type="http://schemas.openxmlformats.org/officeDocument/2006/relationships/settings" Target="settings.xml"/><Relationship Id="rId12" Type="http://schemas.openxmlformats.org/officeDocument/2006/relationships/hyperlink" Target="https://www.henleyglobal.com/publications/centi-millionaire-report-2024/election-supercycle-underpins-millionaire-migration-trends" TargetMode="External"/><Relationship Id="rId17" Type="http://schemas.openxmlformats.org/officeDocument/2006/relationships/hyperlink" Target="https://doi.org/10.1207/s15427625tcq1501_2" TargetMode="External"/><Relationship Id="rId25" Type="http://schemas.openxmlformats.org/officeDocument/2006/relationships/hyperlink" Target="https://www.jstor.org/stable/27301552" TargetMode="External"/><Relationship Id="rId33" Type="http://schemas.openxmlformats.org/officeDocument/2006/relationships/hyperlink" Target="https://doi.org/10.1177/1050651908329562" TargetMode="External"/><Relationship Id="rId38" Type="http://schemas.openxmlformats.org/officeDocument/2006/relationships/hyperlink" Target="https://attwblog.wordpress.com/2016/03/09/from-the-conference-co-chairs/" TargetMode="External"/><Relationship Id="rId46" Type="http://schemas.openxmlformats.org/officeDocument/2006/relationships/hyperlink" Target="https://doi.org/10.1177/10506519231199471" TargetMode="External"/><Relationship Id="rId59" Type="http://schemas.openxmlformats.org/officeDocument/2006/relationships/hyperlink" Target="https://doi.org/10.1177/1050651908329562" TargetMode="External"/><Relationship Id="rId67" Type="http://schemas.openxmlformats.org/officeDocument/2006/relationships/hyperlink" Target="https://doi.org/10.2190/TW.43.4.f" TargetMode="External"/><Relationship Id="rId20" Type="http://schemas.openxmlformats.org/officeDocument/2006/relationships/hyperlink" Target="https://doi.org/10.4324/9780429198748" TargetMode="External"/><Relationship Id="rId41" Type="http://schemas.openxmlformats.org/officeDocument/2006/relationships/hyperlink" Target="https://doi.org/10.2190/TW.42.2.e" TargetMode="External"/><Relationship Id="rId54" Type="http://schemas.openxmlformats.org/officeDocument/2006/relationships/hyperlink" Target="https://www.jstor.org/stable/27301555" TargetMode="External"/><Relationship Id="rId62" Type="http://schemas.openxmlformats.org/officeDocument/2006/relationships/hyperlink" Target="https://www.jstor.org/stable/27301556"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dp.org/super-year-elections" TargetMode="External"/><Relationship Id="rId15" Type="http://schemas.openxmlformats.org/officeDocument/2006/relationships/hyperlink" Target="https://www.google.com/books/edition/Spurious_Coin/ea8Hd6REUVIC?hl=en&amp;gbpv=0" TargetMode="External"/><Relationship Id="rId23" Type="http://schemas.openxmlformats.org/officeDocument/2006/relationships/hyperlink" Target="https://doi.org/10.7330/9781607327585.c006" TargetMode="External"/><Relationship Id="rId28" Type="http://schemas.openxmlformats.org/officeDocument/2006/relationships/hyperlink" Target="https://www.jstor.org/stable/27301556" TargetMode="External"/><Relationship Id="rId36" Type="http://schemas.openxmlformats.org/officeDocument/2006/relationships/hyperlink" Target="mailto:idorpenyo@gmu.edu" TargetMode="External"/><Relationship Id="rId49" Type="http://schemas.openxmlformats.org/officeDocument/2006/relationships/hyperlink" Target="https://time.com/6550920/world-elections-2024/" TargetMode="External"/><Relationship Id="rId57" Type="http://schemas.openxmlformats.org/officeDocument/2006/relationships/hyperlink" Target="https://doi.org/10.1038/d41586-024-01712-2" TargetMode="External"/><Relationship Id="rId10" Type="http://schemas.openxmlformats.org/officeDocument/2006/relationships/hyperlink" Target="https://www.bbc.com/news/world-us-canada-67949560" TargetMode="External"/><Relationship Id="rId31" Type="http://schemas.openxmlformats.org/officeDocument/2006/relationships/hyperlink" Target="https://digitalcommons.mtu.edu/etdr/125" TargetMode="External"/><Relationship Id="rId44" Type="http://schemas.openxmlformats.org/officeDocument/2006/relationships/hyperlink" Target="https://www.stimson.org/2024/the-impact-of-the-us-presidential-election-on-the-future-of-the-international-order/" TargetMode="External"/><Relationship Id="rId52" Type="http://schemas.openxmlformats.org/officeDocument/2006/relationships/hyperlink" Target="https://www.reuters.com/graphics/GLOBAL-ELECTIONS2024/gdvzmkejkpw/" TargetMode="External"/><Relationship Id="rId60" Type="http://schemas.openxmlformats.org/officeDocument/2006/relationships/hyperlink" Target="https://doi.org/10.7330/9781607327585.c006" TargetMode="External"/><Relationship Id="rId65" Type="http://schemas.openxmlformats.org/officeDocument/2006/relationships/hyperlink" Target="https://doi.org/10.1177/0047281620953377" TargetMode="External"/><Relationship Id="rId4" Type="http://schemas.openxmlformats.org/officeDocument/2006/relationships/webSettings" Target="webSettings.xml"/><Relationship Id="rId9" Type="http://schemas.openxmlformats.org/officeDocument/2006/relationships/hyperlink" Target="https://link.springer.com/book/10.1007/978-3-031-42771-8" TargetMode="External"/><Relationship Id="rId13" Type="http://schemas.openxmlformats.org/officeDocument/2006/relationships/hyperlink" Target="http://www.jstor.org/stable/375964" TargetMode="External"/><Relationship Id="rId18" Type="http://schemas.openxmlformats.org/officeDocument/2006/relationships/hyperlink" Target="https://doi.org/10.2190/TW.44.3.e" TargetMode="External"/><Relationship Id="rId39" Type="http://schemas.openxmlformats.org/officeDocument/2006/relationships/hyperlink" Target="https://attwblog.wordpress.com/2016/03/09/from-the-conference-co-chairs/" TargetMode="External"/><Relationship Id="rId34" Type="http://schemas.openxmlformats.org/officeDocument/2006/relationships/hyperlink" Target="mailto:attwcon@gmail.com" TargetMode="External"/><Relationship Id="rId50" Type="http://schemas.openxmlformats.org/officeDocument/2006/relationships/hyperlink" Target="https://doi.org/10.1177/1050651915602295" TargetMode="External"/><Relationship Id="rId55" Type="http://schemas.openxmlformats.org/officeDocument/2006/relationships/hyperlink" Target="https://doi.org/10.1080/10572252.2016.1224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3611</Words>
  <Characters>20586</Characters>
  <Application>Microsoft Office Word</Application>
  <DocSecurity>0</DocSecurity>
  <Lines>171</Lines>
  <Paragraphs>48</Paragraphs>
  <ScaleCrop>false</ScaleCrop>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Isidore K Dorpenyo</cp:lastModifiedBy>
  <cp:revision>3</cp:revision>
  <dcterms:created xsi:type="dcterms:W3CDTF">2024-10-15T17:16:00Z</dcterms:created>
  <dcterms:modified xsi:type="dcterms:W3CDTF">2024-10-15T17:18:00Z</dcterms:modified>
</cp:coreProperties>
</file>