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E358C" w:rsidRDefault="001C0D80">
      <w:pPr>
        <w:pStyle w:val="Title"/>
      </w:pPr>
      <w:bookmarkStart w:id="0" w:name="_gpbevs2876q5" w:colFirst="0" w:colLast="0"/>
      <w:bookmarkEnd w:id="0"/>
      <w:r>
        <w:t>SIGDOC 2025 call for proposals</w:t>
      </w:r>
    </w:p>
    <w:p w14:paraId="00000002" w14:textId="77777777" w:rsidR="004E358C" w:rsidRDefault="001C0D80">
      <w:pPr>
        <w:pStyle w:val="Heading1"/>
      </w:pPr>
      <w:bookmarkStart w:id="1" w:name="_xomd0380pnxd" w:colFirst="0" w:colLast="0"/>
      <w:bookmarkEnd w:id="1"/>
      <w:r>
        <w:t xml:space="preserve">Deadlines </w:t>
      </w:r>
    </w:p>
    <w:p w14:paraId="00000003" w14:textId="77777777" w:rsidR="004E358C" w:rsidRDefault="001C0D80">
      <w:r>
        <w:t>January 15: Proposal deadline</w:t>
      </w:r>
    </w:p>
    <w:p w14:paraId="00000004" w14:textId="77777777" w:rsidR="004E358C" w:rsidRDefault="001C0D80">
      <w:r>
        <w:t xml:space="preserve">February 28: Authors notified of program acceptance </w:t>
      </w:r>
    </w:p>
    <w:p w14:paraId="00000005" w14:textId="77777777" w:rsidR="004E358C" w:rsidRDefault="001C0D80">
      <w:r>
        <w:t>April 30: Draft proceedings manuscripts submitted for review</w:t>
      </w:r>
    </w:p>
    <w:p w14:paraId="00000006" w14:textId="77777777" w:rsidR="004E358C" w:rsidRDefault="001C0D80">
      <w:r>
        <w:t xml:space="preserve">August 2: Final proceedings manuscripts submitted </w:t>
      </w:r>
    </w:p>
    <w:p w14:paraId="00000007" w14:textId="77777777" w:rsidR="004E358C" w:rsidRDefault="001C0D80">
      <w:pPr>
        <w:pStyle w:val="Heading1"/>
      </w:pPr>
      <w:bookmarkStart w:id="2" w:name="_k61pakeutm95" w:colFirst="0" w:colLast="0"/>
      <w:bookmarkEnd w:id="2"/>
      <w:r>
        <w:t>Call for proposals</w:t>
      </w:r>
    </w:p>
    <w:p w14:paraId="00000008" w14:textId="1077494B" w:rsidR="004E358C" w:rsidRDefault="001C0D80">
      <w:r>
        <w:t xml:space="preserve">The ACM Special Interest Group on Design of Communication (ACM SIGDOC) invites proposals for its 2025 in-person conference in Lubbock, Texas on October 24-25, 2025. We are excited to announce that SIGDOC will be co-located with the 2025 CPTSC conference.  </w:t>
      </w:r>
    </w:p>
    <w:p w14:paraId="00000009" w14:textId="77777777" w:rsidR="004E358C" w:rsidRDefault="004E358C"/>
    <w:p w14:paraId="0000000A" w14:textId="77777777" w:rsidR="004E358C" w:rsidRDefault="001C0D80">
      <w:r>
        <w:t xml:space="preserve">SIGDOC’s mission is to advance the state of knowledge, encourage the research, and support the interdisciplinary practice of the design of communication. Our annual conference provides a forum for scholars and practitioners alike to come together and share research findings and best practices in all fields related to the design communication, including but not limited to technical communication and user experience. For our 2025 conference, we invite proposals that further this mission as we work together to build knowledge and address the myriad concerns facing researchers and practitioners in our communities and workplaces. Proposals can address a broad range of topics related to the practice or teaching of communication design, technical communication, and/or user experience including, but not limited to: </w:t>
      </w:r>
    </w:p>
    <w:p w14:paraId="0000000B" w14:textId="77777777" w:rsidR="004E358C" w:rsidRDefault="004E358C">
      <w:pPr>
        <w:ind w:left="720" w:hanging="360"/>
        <w:sectPr w:rsidR="004E358C">
          <w:pgSz w:w="12240" w:h="15840"/>
          <w:pgMar w:top="1080" w:right="1080" w:bottom="1080" w:left="1080" w:header="720" w:footer="720" w:gutter="0"/>
          <w:pgNumType w:start="1"/>
          <w:cols w:space="720"/>
        </w:sectPr>
      </w:pPr>
    </w:p>
    <w:p w14:paraId="0000000C" w14:textId="77777777" w:rsidR="004E358C" w:rsidRDefault="001C0D80">
      <w:pPr>
        <w:numPr>
          <w:ilvl w:val="0"/>
          <w:numId w:val="1"/>
        </w:numPr>
      </w:pPr>
      <w:r>
        <w:t>Interdisciplinary problem solving</w:t>
      </w:r>
    </w:p>
    <w:p w14:paraId="0000000D" w14:textId="77777777" w:rsidR="004E358C" w:rsidRDefault="001C0D80">
      <w:pPr>
        <w:numPr>
          <w:ilvl w:val="0"/>
          <w:numId w:val="1"/>
        </w:numPr>
      </w:pPr>
      <w:r>
        <w:t>Emerging modes of communication</w:t>
      </w:r>
    </w:p>
    <w:p w14:paraId="0000000E" w14:textId="77777777" w:rsidR="004E358C" w:rsidRDefault="001C0D80">
      <w:pPr>
        <w:numPr>
          <w:ilvl w:val="0"/>
          <w:numId w:val="1"/>
        </w:numPr>
      </w:pPr>
      <w:r>
        <w:t>Theory and research methods</w:t>
      </w:r>
    </w:p>
    <w:p w14:paraId="0000000F" w14:textId="77777777" w:rsidR="004E358C" w:rsidRDefault="001C0D80">
      <w:pPr>
        <w:numPr>
          <w:ilvl w:val="0"/>
          <w:numId w:val="1"/>
        </w:numPr>
      </w:pPr>
      <w:r>
        <w:t>Community-centered research and design practices</w:t>
      </w:r>
    </w:p>
    <w:p w14:paraId="00000010" w14:textId="77777777" w:rsidR="004E358C" w:rsidRDefault="001C0D80">
      <w:pPr>
        <w:numPr>
          <w:ilvl w:val="0"/>
          <w:numId w:val="1"/>
        </w:numPr>
      </w:pPr>
      <w:r>
        <w:t>User experience design and experience architecture</w:t>
      </w:r>
    </w:p>
    <w:p w14:paraId="00000011" w14:textId="77777777" w:rsidR="004E358C" w:rsidRDefault="001C0D80">
      <w:pPr>
        <w:numPr>
          <w:ilvl w:val="0"/>
          <w:numId w:val="1"/>
        </w:numPr>
      </w:pPr>
      <w:r>
        <w:t>Learning systems and environments</w:t>
      </w:r>
    </w:p>
    <w:p w14:paraId="00000012" w14:textId="77777777" w:rsidR="004E358C" w:rsidRDefault="001C0D80">
      <w:pPr>
        <w:numPr>
          <w:ilvl w:val="0"/>
          <w:numId w:val="1"/>
        </w:numPr>
      </w:pPr>
      <w:r>
        <w:t>Open source design solutions</w:t>
      </w:r>
    </w:p>
    <w:p w14:paraId="00000013" w14:textId="77777777" w:rsidR="004E358C" w:rsidRDefault="001C0D80">
      <w:pPr>
        <w:numPr>
          <w:ilvl w:val="0"/>
          <w:numId w:val="1"/>
        </w:numPr>
      </w:pPr>
      <w:r>
        <w:t>Collaborative platforms</w:t>
      </w:r>
    </w:p>
    <w:p w14:paraId="00000014" w14:textId="77777777" w:rsidR="004E358C" w:rsidRDefault="001C0D80">
      <w:pPr>
        <w:numPr>
          <w:ilvl w:val="0"/>
          <w:numId w:val="1"/>
        </w:numPr>
      </w:pPr>
      <w:r>
        <w:t>Design methods and principles</w:t>
      </w:r>
    </w:p>
    <w:p w14:paraId="00000015" w14:textId="77777777" w:rsidR="004E358C" w:rsidRDefault="001C0D80">
      <w:pPr>
        <w:numPr>
          <w:ilvl w:val="0"/>
          <w:numId w:val="1"/>
        </w:numPr>
      </w:pPr>
      <w:r>
        <w:t>Digital humanities and design</w:t>
      </w:r>
    </w:p>
    <w:p w14:paraId="00000016" w14:textId="77777777" w:rsidR="004E358C" w:rsidRDefault="001C0D80">
      <w:pPr>
        <w:numPr>
          <w:ilvl w:val="0"/>
          <w:numId w:val="1"/>
        </w:numPr>
      </w:pPr>
      <w:r>
        <w:t>Project management</w:t>
      </w:r>
    </w:p>
    <w:p w14:paraId="00000017" w14:textId="77777777" w:rsidR="004E358C" w:rsidRDefault="001C0D80">
      <w:pPr>
        <w:numPr>
          <w:ilvl w:val="0"/>
          <w:numId w:val="1"/>
        </w:numPr>
      </w:pPr>
      <w:r>
        <w:t>Content strategy</w:t>
      </w:r>
    </w:p>
    <w:p w14:paraId="00000018" w14:textId="77777777" w:rsidR="004E358C" w:rsidRDefault="001C0D80">
      <w:pPr>
        <w:numPr>
          <w:ilvl w:val="0"/>
          <w:numId w:val="1"/>
        </w:numPr>
      </w:pPr>
      <w:r>
        <w:t>Information literacy</w:t>
      </w:r>
    </w:p>
    <w:p w14:paraId="00000019" w14:textId="77777777" w:rsidR="004E358C" w:rsidRDefault="001C0D80">
      <w:pPr>
        <w:numPr>
          <w:ilvl w:val="0"/>
          <w:numId w:val="1"/>
        </w:numPr>
      </w:pPr>
      <w:r>
        <w:t>Information design and architecture</w:t>
      </w:r>
    </w:p>
    <w:p w14:paraId="0000001A" w14:textId="77777777" w:rsidR="004E358C" w:rsidRDefault="001C0D80">
      <w:pPr>
        <w:numPr>
          <w:ilvl w:val="0"/>
          <w:numId w:val="1"/>
        </w:numPr>
      </w:pPr>
      <w:r>
        <w:t>International and intercultural communication design</w:t>
      </w:r>
    </w:p>
    <w:p w14:paraId="0000001B" w14:textId="77777777" w:rsidR="004E358C" w:rsidRDefault="001C0D80">
      <w:pPr>
        <w:numPr>
          <w:ilvl w:val="0"/>
          <w:numId w:val="1"/>
        </w:numPr>
      </w:pPr>
      <w:r>
        <w:t>Computer-mediated communication</w:t>
      </w:r>
    </w:p>
    <w:p w14:paraId="0000001C" w14:textId="77777777" w:rsidR="004E358C" w:rsidRDefault="001C0D80">
      <w:pPr>
        <w:numPr>
          <w:ilvl w:val="0"/>
          <w:numId w:val="1"/>
        </w:numPr>
      </w:pPr>
      <w:r>
        <w:t>Socially just implications for technical communication</w:t>
      </w:r>
    </w:p>
    <w:p w14:paraId="0000001D" w14:textId="77777777" w:rsidR="004E358C" w:rsidRDefault="001C0D80">
      <w:pPr>
        <w:numPr>
          <w:ilvl w:val="0"/>
          <w:numId w:val="1"/>
        </w:numPr>
        <w:sectPr w:rsidR="004E358C">
          <w:type w:val="continuous"/>
          <w:pgSz w:w="12240" w:h="15840"/>
          <w:pgMar w:top="1080" w:right="1080" w:bottom="1080" w:left="1080" w:header="720" w:footer="720" w:gutter="0"/>
          <w:cols w:num="2" w:space="720" w:equalWidth="0">
            <w:col w:w="4680" w:space="720"/>
            <w:col w:w="4680" w:space="0"/>
          </w:cols>
        </w:sectPr>
      </w:pPr>
      <w:r>
        <w:t>AI, LLMS and AI-assisted writing practices</w:t>
      </w:r>
    </w:p>
    <w:p w14:paraId="0000001E" w14:textId="77777777" w:rsidR="004E358C" w:rsidRDefault="004E358C"/>
    <w:p w14:paraId="0000001F" w14:textId="52BD1DAC" w:rsidR="004E358C" w:rsidRDefault="001C0D80">
      <w:r>
        <w:t>We also welcome submissions that are rooted in neighboring disciplines, such as software development and computer science, healthcare, social work, crisis communication, digital humanities, rhetoric of science &amp; technology, and beyond.</w:t>
      </w:r>
      <w:r w:rsidR="0089067C">
        <w:t xml:space="preserve"> </w:t>
      </w:r>
      <w:r>
        <w:t xml:space="preserve">Please direct any questions to the program chairs at </w:t>
      </w:r>
      <w:hyperlink r:id="rId5">
        <w:r>
          <w:rPr>
            <w:color w:val="1155CC"/>
            <w:u w:val="single"/>
          </w:rPr>
          <w:t>sigdocconference@gmail.com</w:t>
        </w:r>
      </w:hyperlink>
    </w:p>
    <w:p w14:paraId="00000020" w14:textId="77777777" w:rsidR="004E358C" w:rsidRDefault="001C0D80">
      <w:pPr>
        <w:pStyle w:val="Heading1"/>
      </w:pPr>
      <w:bookmarkStart w:id="3" w:name="_qhcctaop3gae" w:colFirst="0" w:colLast="0"/>
      <w:bookmarkEnd w:id="3"/>
      <w:r>
        <w:t xml:space="preserve">Types of proposals: </w:t>
      </w:r>
    </w:p>
    <w:p w14:paraId="00000021" w14:textId="77777777" w:rsidR="004E358C" w:rsidRDefault="001C0D80">
      <w:r>
        <w:t xml:space="preserve">Individual research papers or experience reports (500 words) </w:t>
      </w:r>
    </w:p>
    <w:p w14:paraId="00000022" w14:textId="77777777" w:rsidR="004E358C" w:rsidRDefault="001C0D80">
      <w:r>
        <w:lastRenderedPageBreak/>
        <w:t xml:space="preserve">Poster proposals (500 words) </w:t>
      </w:r>
    </w:p>
    <w:p w14:paraId="00000023" w14:textId="77777777" w:rsidR="004E358C" w:rsidRDefault="001C0D80">
      <w:r>
        <w:t>Panel proposals (700 words) Should include short abstracts for all presenters</w:t>
      </w:r>
    </w:p>
    <w:p w14:paraId="00000024" w14:textId="4C1FDC2F" w:rsidR="004E358C" w:rsidRDefault="001C0D80">
      <w:r>
        <w:t>Workshop proposals (800 words).</w:t>
      </w:r>
    </w:p>
    <w:p w14:paraId="00000025" w14:textId="77777777" w:rsidR="004E358C" w:rsidRDefault="004E358C"/>
    <w:p w14:paraId="00000026" w14:textId="77777777" w:rsidR="004E358C" w:rsidRDefault="001C0D80">
      <w:r>
        <w:t>Conference Co-chairs</w:t>
      </w:r>
    </w:p>
    <w:p w14:paraId="00000027" w14:textId="77777777" w:rsidR="004E358C" w:rsidRDefault="001C0D80">
      <w:r>
        <w:t xml:space="preserve">Jason Tham </w:t>
      </w:r>
    </w:p>
    <w:p w14:paraId="00000029" w14:textId="77777777" w:rsidR="004E358C" w:rsidRDefault="004E358C"/>
    <w:p w14:paraId="0000002A" w14:textId="77777777" w:rsidR="004E358C" w:rsidRDefault="001C0D80">
      <w:r>
        <w:t>Program Co-Chairs</w:t>
      </w:r>
    </w:p>
    <w:p w14:paraId="0000002B" w14:textId="77777777" w:rsidR="004E358C" w:rsidRDefault="001C0D80">
      <w:r>
        <w:t>Michelle McMullin</w:t>
      </w:r>
    </w:p>
    <w:p w14:paraId="0000002C" w14:textId="77777777" w:rsidR="004E358C" w:rsidRDefault="001C0D80">
      <w:r>
        <w:t>Temptaous McKoy</w:t>
      </w:r>
    </w:p>
    <w:p w14:paraId="0000002D" w14:textId="77777777" w:rsidR="004E358C" w:rsidRDefault="004E358C"/>
    <w:p w14:paraId="0000002E" w14:textId="77777777" w:rsidR="004E358C" w:rsidRDefault="001C0D80">
      <w:r>
        <w:t>SRC Co-Chairs</w:t>
      </w:r>
    </w:p>
    <w:p w14:paraId="0000002F" w14:textId="77777777" w:rsidR="004E358C" w:rsidRDefault="001C0D80">
      <w:r>
        <w:t>Allegra Smith</w:t>
      </w:r>
    </w:p>
    <w:p w14:paraId="00000030" w14:textId="77777777" w:rsidR="004E358C" w:rsidRDefault="001C0D80">
      <w:r>
        <w:t xml:space="preserve">Bradley Dilger </w:t>
      </w:r>
    </w:p>
    <w:p w14:paraId="00000031" w14:textId="77777777" w:rsidR="004E358C" w:rsidRDefault="004E358C"/>
    <w:p w14:paraId="00000032" w14:textId="77777777" w:rsidR="004E358C" w:rsidRDefault="001C0D80">
      <w:r>
        <w:t>Access Chair</w:t>
      </w:r>
    </w:p>
    <w:p w14:paraId="00000033" w14:textId="77777777" w:rsidR="004E358C" w:rsidRDefault="001C0D80">
      <w:r>
        <w:t>Sherena Huntsman</w:t>
      </w:r>
    </w:p>
    <w:p w14:paraId="00000034" w14:textId="77777777" w:rsidR="004E358C" w:rsidRDefault="004E358C"/>
    <w:p w14:paraId="00000035" w14:textId="77777777" w:rsidR="004E358C" w:rsidRDefault="001C0D80">
      <w:r>
        <w:t>Industry Liaison</w:t>
      </w:r>
    </w:p>
    <w:p w14:paraId="00000036" w14:textId="77777777" w:rsidR="004E358C" w:rsidRDefault="001C0D80">
      <w:r>
        <w:t>Ashley Hardin</w:t>
      </w:r>
    </w:p>
    <w:p w14:paraId="00000037" w14:textId="77777777" w:rsidR="004E358C" w:rsidRDefault="004E358C"/>
    <w:p w14:paraId="00000038" w14:textId="77777777" w:rsidR="004E358C" w:rsidRDefault="001C0D80">
      <w:r>
        <w:t>Technical Editor</w:t>
      </w:r>
    </w:p>
    <w:p w14:paraId="00000039" w14:textId="77777777" w:rsidR="004E358C" w:rsidRDefault="001C0D80">
      <w:r>
        <w:t>Soyeon Lee</w:t>
      </w:r>
    </w:p>
    <w:p w14:paraId="0000003A" w14:textId="77777777" w:rsidR="004E358C" w:rsidRDefault="004E358C"/>
    <w:p w14:paraId="0000003B" w14:textId="77777777" w:rsidR="004E358C" w:rsidRDefault="004E358C"/>
    <w:sectPr w:rsidR="004E358C">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C7D29"/>
    <w:multiLevelType w:val="multilevel"/>
    <w:tmpl w:val="9D681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603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SwNDMzMTE3MbUwMzdQ0lEKTi0uzszPAykwrAUAg0EMTSwAAAA="/>
  </w:docVars>
  <w:rsids>
    <w:rsidRoot w:val="004E358C"/>
    <w:rsid w:val="001C0D80"/>
    <w:rsid w:val="004E358C"/>
    <w:rsid w:val="0089067C"/>
    <w:rsid w:val="00B479B8"/>
    <w:rsid w:val="00C5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CA8A"/>
  <w15:docId w15:val="{633AD4EA-63A4-4DF3-B2D2-8D93B6A4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26"/>
      <w:szCs w:val="26"/>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06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gdocconfere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Huiling Ding</dc:creator>
  <cp:lastModifiedBy>Morgan Banville</cp:lastModifiedBy>
  <cp:revision>3</cp:revision>
  <dcterms:created xsi:type="dcterms:W3CDTF">2024-12-19T21:25:00Z</dcterms:created>
  <dcterms:modified xsi:type="dcterms:W3CDTF">2024-12-19T23:42:00Z</dcterms:modified>
</cp:coreProperties>
</file>