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CFB3" w14:textId="77777777" w:rsidR="00613A30" w:rsidRDefault="00987D12" w:rsidP="00987D12">
      <w:pPr>
        <w:jc w:val="center"/>
        <w:rPr>
          <w:b/>
          <w:bCs/>
        </w:rPr>
      </w:pPr>
      <w:r>
        <w:rPr>
          <w:b/>
          <w:bCs/>
        </w:rPr>
        <w:t>CFP</w:t>
      </w:r>
      <w:r w:rsidR="00A933A0">
        <w:rPr>
          <w:b/>
          <w:bCs/>
        </w:rPr>
        <w:t xml:space="preserve">: </w:t>
      </w:r>
      <w:r>
        <w:rPr>
          <w:b/>
          <w:bCs/>
        </w:rPr>
        <w:t xml:space="preserve"> </w:t>
      </w:r>
      <w:r w:rsidR="00A933A0">
        <w:rPr>
          <w:b/>
          <w:bCs/>
        </w:rPr>
        <w:t xml:space="preserve">Chapter proposals for </w:t>
      </w:r>
    </w:p>
    <w:p w14:paraId="3CE398D8" w14:textId="58D98F5E" w:rsidR="00987D12" w:rsidRDefault="00987D12" w:rsidP="00987D12">
      <w:pPr>
        <w:jc w:val="center"/>
        <w:rPr>
          <w:b/>
          <w:bCs/>
        </w:rPr>
      </w:pPr>
      <w:r>
        <w:rPr>
          <w:b/>
          <w:bCs/>
        </w:rPr>
        <w:t>“</w:t>
      </w:r>
      <w:r w:rsidR="00613A30">
        <w:rPr>
          <w:b/>
          <w:bCs/>
        </w:rPr>
        <w:t>The Rhetoric of Material Artifacts in Health and Medicine</w:t>
      </w:r>
      <w:r>
        <w:rPr>
          <w:b/>
          <w:bCs/>
        </w:rPr>
        <w:t>”</w:t>
      </w:r>
    </w:p>
    <w:p w14:paraId="11270345" w14:textId="77777777" w:rsidR="00A933A0" w:rsidRDefault="00A933A0" w:rsidP="00987D12">
      <w:pPr>
        <w:jc w:val="center"/>
        <w:rPr>
          <w:b/>
          <w:bCs/>
        </w:rPr>
      </w:pPr>
    </w:p>
    <w:p w14:paraId="651E5BB1" w14:textId="45D17FF7" w:rsidR="00987D12" w:rsidRDefault="00987D12" w:rsidP="00987D12">
      <w:pPr>
        <w:jc w:val="center"/>
        <w:rPr>
          <w:b/>
          <w:bCs/>
        </w:rPr>
      </w:pPr>
      <w:r>
        <w:rPr>
          <w:b/>
          <w:bCs/>
        </w:rPr>
        <w:t>Eds. Cynthia Ryan, University of Alabama at Birmingham</w:t>
      </w:r>
    </w:p>
    <w:p w14:paraId="27FEB482" w14:textId="0D2F2801" w:rsidR="00987D12" w:rsidRDefault="00987D12" w:rsidP="00987D12">
      <w:pPr>
        <w:jc w:val="center"/>
        <w:rPr>
          <w:b/>
          <w:bCs/>
        </w:rPr>
      </w:pPr>
      <w:r>
        <w:rPr>
          <w:b/>
          <w:bCs/>
        </w:rPr>
        <w:t>Lisa Melon</w:t>
      </w:r>
      <w:r>
        <w:rPr>
          <w:rFonts w:ascii="Aptos" w:hAnsi="Aptos"/>
          <w:b/>
          <w:bCs/>
        </w:rPr>
        <w:t>ç</w:t>
      </w:r>
      <w:r>
        <w:rPr>
          <w:b/>
          <w:bCs/>
        </w:rPr>
        <w:t>on, Clemson University</w:t>
      </w:r>
    </w:p>
    <w:p w14:paraId="48D6F501" w14:textId="7D2E1D5C" w:rsidR="005E371B" w:rsidRDefault="00987D12" w:rsidP="005E371B">
      <w:pPr>
        <w:jc w:val="center"/>
        <w:rPr>
          <w:b/>
          <w:bCs/>
        </w:rPr>
      </w:pPr>
      <w:r>
        <w:rPr>
          <w:b/>
          <w:bCs/>
        </w:rPr>
        <w:t>Cathryn</w:t>
      </w:r>
      <w:r w:rsidR="005E371B">
        <w:rPr>
          <w:b/>
          <w:bCs/>
        </w:rPr>
        <w:t xml:space="preserve"> Molloy, University of Delaware</w:t>
      </w:r>
      <w:r>
        <w:rPr>
          <w:b/>
          <w:bCs/>
        </w:rPr>
        <w:t xml:space="preserve"> </w:t>
      </w:r>
    </w:p>
    <w:p w14:paraId="215B5BC2" w14:textId="3EEA360E" w:rsidR="00A0274E" w:rsidRPr="00007CBA" w:rsidRDefault="00007CBA" w:rsidP="005E371B">
      <w:pPr>
        <w:rPr>
          <w:b/>
          <w:bCs/>
        </w:rPr>
      </w:pPr>
      <w:r>
        <w:rPr>
          <w:b/>
          <w:bCs/>
        </w:rPr>
        <w:t>Collection Overview</w:t>
      </w:r>
    </w:p>
    <w:p w14:paraId="67E2FEC6" w14:textId="2817976D" w:rsidR="00D52A6E" w:rsidRDefault="00BD448B" w:rsidP="005E371B">
      <w:r>
        <w:t>Health and medical artifacts are so ubiquitous in and integrated into health and medical contexts that they can be overlooked entirely, yet examining them critically can lend deep insight into the complexities of the human experience.</w:t>
      </w:r>
      <w:r w:rsidR="00D52A6E">
        <w:t xml:space="preserve"> </w:t>
      </w:r>
      <w:r w:rsidR="00862B7C">
        <w:t>While the term “artifact” has been operationalized differently across time and fields of study and has led to some debate, “a</w:t>
      </w:r>
      <w:r w:rsidR="005E371B">
        <w:t>rtifacts</w:t>
      </w:r>
      <w:r w:rsidR="00862B7C">
        <w:t>”</w:t>
      </w:r>
      <w:r w:rsidR="005E371B">
        <w:t xml:space="preserve"> are </w:t>
      </w:r>
      <w:r w:rsidR="00862B7C">
        <w:t xml:space="preserve">largely considered to </w:t>
      </w:r>
      <w:r w:rsidR="00FB29ED">
        <w:t xml:space="preserve">reveal </w:t>
      </w:r>
      <w:r w:rsidR="00613A30">
        <w:t>the “tangible yield of human conduct</w:t>
      </w:r>
      <w:r w:rsidR="00FB29ED">
        <w:t>,</w:t>
      </w:r>
      <w:r w:rsidR="00F503CB">
        <w:t>”</w:t>
      </w:r>
      <w:r w:rsidR="00FB29ED">
        <w:t xml:space="preserve"> according to cultural material theorist Henry Glassie (1999, </w:t>
      </w:r>
      <w:r w:rsidR="00613A30">
        <w:t>p. 41).</w:t>
      </w:r>
    </w:p>
    <w:p w14:paraId="1304CCF7" w14:textId="66746647" w:rsidR="0094527A" w:rsidRDefault="00987D12" w:rsidP="005E371B">
      <w:r>
        <w:t>In health and medi</w:t>
      </w:r>
      <w:r w:rsidR="0094527A">
        <w:t>cal</w:t>
      </w:r>
      <w:r>
        <w:t xml:space="preserve"> contexts</w:t>
      </w:r>
      <w:r w:rsidR="00F32943">
        <w:t xml:space="preserve"> </w:t>
      </w:r>
      <w:r w:rsidR="006D5E03">
        <w:t>specifically</w:t>
      </w:r>
      <w:r>
        <w:t xml:space="preserve">, physical objects </w:t>
      </w:r>
      <w:r w:rsidR="00190BBB">
        <w:t>have long been at the center of perceiving</w:t>
      </w:r>
      <w:r w:rsidR="00F32943">
        <w:t>, tracking,</w:t>
      </w:r>
      <w:r w:rsidR="00190BBB">
        <w:t xml:space="preserve"> and understanding states of health and illness</w:t>
      </w:r>
      <w:r w:rsidR="00C85524">
        <w:t xml:space="preserve"> (e.g.,</w:t>
      </w:r>
      <w:r w:rsidR="00B33A24">
        <w:t xml:space="preserve"> imaging devices</w:t>
      </w:r>
      <w:r w:rsidR="00F32943">
        <w:t xml:space="preserve"> and fitness trackers</w:t>
      </w:r>
      <w:r w:rsidR="00C85524">
        <w:t>)</w:t>
      </w:r>
      <w:r w:rsidR="00190BBB">
        <w:t xml:space="preserve">, </w:t>
      </w:r>
      <w:r w:rsidR="00773C3F">
        <w:t xml:space="preserve">discovering ways to </w:t>
      </w:r>
      <w:r w:rsidR="006D5E03">
        <w:t>measur</w:t>
      </w:r>
      <w:r w:rsidR="00773C3F">
        <w:t>e</w:t>
      </w:r>
      <w:r w:rsidR="006D5E03">
        <w:t xml:space="preserve"> </w:t>
      </w:r>
      <w:r w:rsidR="00190BBB">
        <w:t xml:space="preserve">the individual </w:t>
      </w:r>
      <w:r w:rsidR="00B33A24">
        <w:t>body against universal standards</w:t>
      </w:r>
      <w:r w:rsidR="00C85524">
        <w:t xml:space="preserve"> (e.g., BMI charts</w:t>
      </w:r>
      <w:r w:rsidR="00B33A24">
        <w:t xml:space="preserve">, </w:t>
      </w:r>
      <w:r w:rsidR="0094527A">
        <w:t xml:space="preserve">pain scales, </w:t>
      </w:r>
      <w:r w:rsidR="008C4FF9">
        <w:t xml:space="preserve">and </w:t>
      </w:r>
      <w:r w:rsidR="00F87655">
        <w:t>thermometer readings</w:t>
      </w:r>
      <w:r w:rsidR="00C85524">
        <w:t>)</w:t>
      </w:r>
      <w:r w:rsidR="00190BBB">
        <w:t xml:space="preserve">, </w:t>
      </w:r>
      <w:r w:rsidR="006D5E03">
        <w:t xml:space="preserve">offering </w:t>
      </w:r>
      <w:r w:rsidR="004C3DCF">
        <w:t>evidence for supporting</w:t>
      </w:r>
      <w:r w:rsidR="00190BBB">
        <w:t xml:space="preserve"> diagnos</w:t>
      </w:r>
      <w:r w:rsidR="004C3DCF">
        <w:t>e</w:t>
      </w:r>
      <w:r w:rsidR="00190BBB">
        <w:t>s and treatment</w:t>
      </w:r>
      <w:r w:rsidR="004C3DCF">
        <w:t>s</w:t>
      </w:r>
      <w:r w:rsidR="00C85524">
        <w:t xml:space="preserve"> (e.g., </w:t>
      </w:r>
      <w:r w:rsidR="006D5E03">
        <w:t xml:space="preserve">blood tests for </w:t>
      </w:r>
      <w:r w:rsidR="00C85524">
        <w:t>tumor markers)</w:t>
      </w:r>
      <w:r w:rsidR="0094527A">
        <w:t xml:space="preserve">, providing enhancements </w:t>
      </w:r>
      <w:r w:rsidR="00F32943">
        <w:t xml:space="preserve">or corrections </w:t>
      </w:r>
      <w:r w:rsidR="0094527A">
        <w:t>for perceived aesthetic flaws (e.g.</w:t>
      </w:r>
      <w:r w:rsidR="00042538">
        <w:t>,</w:t>
      </w:r>
      <w:r w:rsidR="0094527A">
        <w:t xml:space="preserve"> </w:t>
      </w:r>
      <w:r w:rsidR="00F32943">
        <w:t xml:space="preserve">saline </w:t>
      </w:r>
      <w:r w:rsidR="0094527A">
        <w:t>implants</w:t>
      </w:r>
      <w:r w:rsidR="00F32943">
        <w:t>,</w:t>
      </w:r>
      <w:r w:rsidR="0094527A">
        <w:t xml:space="preserve"> dental crowns</w:t>
      </w:r>
      <w:r w:rsidR="00F32943">
        <w:t>, and dermatological lasers</w:t>
      </w:r>
      <w:r w:rsidR="0094527A">
        <w:t xml:space="preserve">), and affording users prostheses </w:t>
      </w:r>
      <w:r w:rsidR="000C0DA4">
        <w:t xml:space="preserve">and related tools that seek to accommodate </w:t>
      </w:r>
      <w:r w:rsidR="0094527A">
        <w:t>disabilities (e.g.</w:t>
      </w:r>
      <w:r w:rsidR="00042538">
        <w:t>,</w:t>
      </w:r>
      <w:r w:rsidR="0094527A">
        <w:t xml:space="preserve"> wheelchairs, </w:t>
      </w:r>
      <w:r w:rsidR="00674CD8">
        <w:t xml:space="preserve">eyeglasses, </w:t>
      </w:r>
      <w:r w:rsidR="0094527A">
        <w:t>crutches, and running blades).</w:t>
      </w:r>
      <w:r w:rsidR="00190BBB">
        <w:t xml:space="preserve"> </w:t>
      </w:r>
      <w:r w:rsidR="00A95AB1">
        <w:t xml:space="preserve">In </w:t>
      </w:r>
      <w:r w:rsidR="0094527A">
        <w:t>the</w:t>
      </w:r>
      <w:r w:rsidR="00A95AB1">
        <w:t xml:space="preserve"> biomedic</w:t>
      </w:r>
      <w:r w:rsidR="0094527A">
        <w:t>al</w:t>
      </w:r>
      <w:r w:rsidR="00A95AB1">
        <w:t xml:space="preserve"> sphere, </w:t>
      </w:r>
      <w:r w:rsidR="00F32943">
        <w:t xml:space="preserve">artifacts must be examined in relation to </w:t>
      </w:r>
      <w:r w:rsidR="006D5E03">
        <w:t xml:space="preserve">the inevitability of </w:t>
      </w:r>
      <w:r w:rsidR="00A95AB1">
        <w:t xml:space="preserve">corporeal fluctuations (Teston, </w:t>
      </w:r>
      <w:r w:rsidR="001929CD">
        <w:t>2017</w:t>
      </w:r>
      <w:r w:rsidR="00A95AB1">
        <w:t>)</w:t>
      </w:r>
      <w:r w:rsidR="0094527A">
        <w:t xml:space="preserve"> and</w:t>
      </w:r>
      <w:r w:rsidR="004C3DCF">
        <w:t xml:space="preserve"> the dynamism of </w:t>
      </w:r>
      <w:r w:rsidR="0094527A">
        <w:t xml:space="preserve">the </w:t>
      </w:r>
      <w:r w:rsidR="004C3DCF">
        <w:t>ecological systems in which bodies are situated</w:t>
      </w:r>
      <w:r w:rsidR="00A95AB1">
        <w:t xml:space="preserve">. </w:t>
      </w:r>
      <w:r w:rsidR="000C0DA4">
        <w:t>Just as mainstream, Western health and medical artifacts align with the basic epistemological assumptions of biomedicine, in</w:t>
      </w:r>
      <w:r w:rsidR="00165BF0">
        <w:t xml:space="preserve"> </w:t>
      </w:r>
      <w:r w:rsidR="0094527A">
        <w:t xml:space="preserve">non-Western </w:t>
      </w:r>
      <w:r w:rsidR="00A0274E">
        <w:t>health and medic</w:t>
      </w:r>
      <w:r w:rsidR="0094527A">
        <w:t>al</w:t>
      </w:r>
      <w:r w:rsidR="00A0274E">
        <w:t xml:space="preserve"> s</w:t>
      </w:r>
      <w:r w:rsidR="00165BF0">
        <w:t>paces</w:t>
      </w:r>
      <w:r w:rsidR="00A0274E">
        <w:t xml:space="preserve"> </w:t>
      </w:r>
      <w:r w:rsidR="0094527A">
        <w:t xml:space="preserve">and in those </w:t>
      </w:r>
      <w:r w:rsidR="00A0274E">
        <w:t>deemed alternative</w:t>
      </w:r>
      <w:r w:rsidR="00974EE8">
        <w:t xml:space="preserve"> or compl</w:t>
      </w:r>
      <w:r w:rsidR="00674CD8">
        <w:t>e</w:t>
      </w:r>
      <w:r w:rsidR="00974EE8">
        <w:t>mentary</w:t>
      </w:r>
      <w:r w:rsidR="00165BF0">
        <w:t xml:space="preserve">, </w:t>
      </w:r>
      <w:r w:rsidR="001929CD">
        <w:t xml:space="preserve">artifacts </w:t>
      </w:r>
      <w:r w:rsidR="004C3DCF">
        <w:t xml:space="preserve">like </w:t>
      </w:r>
      <w:r w:rsidR="001929CD">
        <w:t>singing bowls</w:t>
      </w:r>
      <w:r w:rsidR="00F32943">
        <w:t>, essential oils, meditation bolsters,</w:t>
      </w:r>
      <w:r w:rsidR="001929CD">
        <w:t xml:space="preserve"> </w:t>
      </w:r>
      <w:r w:rsidR="004C3DCF">
        <w:t xml:space="preserve">and </w:t>
      </w:r>
      <w:r w:rsidR="009C0DF7">
        <w:t xml:space="preserve">acupuncture </w:t>
      </w:r>
      <w:r w:rsidR="00F32943">
        <w:t xml:space="preserve">mats and </w:t>
      </w:r>
      <w:r w:rsidR="009C0DF7">
        <w:t xml:space="preserve">needles </w:t>
      </w:r>
      <w:r w:rsidR="004C3DCF">
        <w:t xml:space="preserve">play </w:t>
      </w:r>
      <w:r w:rsidR="009C0DF7">
        <w:t xml:space="preserve">operative </w:t>
      </w:r>
      <w:r w:rsidR="004C3DCF">
        <w:t>role</w:t>
      </w:r>
      <w:r w:rsidR="009C0DF7">
        <w:t>s</w:t>
      </w:r>
      <w:r w:rsidR="004C3DCF">
        <w:t xml:space="preserve"> in constructing </w:t>
      </w:r>
      <w:r w:rsidR="009C0DF7">
        <w:t xml:space="preserve">the mind and body </w:t>
      </w:r>
      <w:r w:rsidR="006D5E03">
        <w:t xml:space="preserve">through </w:t>
      </w:r>
      <w:r w:rsidR="0094527A">
        <w:t>more integrated</w:t>
      </w:r>
      <w:r w:rsidR="006D5E03">
        <w:t xml:space="preserve"> frameworks</w:t>
      </w:r>
      <w:r w:rsidR="009C0DF7">
        <w:t xml:space="preserve">. </w:t>
      </w:r>
    </w:p>
    <w:p w14:paraId="5C1F0D2C" w14:textId="1A91C523" w:rsidR="004315E6" w:rsidRDefault="00F32943" w:rsidP="005E371B">
      <w:r>
        <w:t>Often</w:t>
      </w:r>
      <w:r w:rsidR="000C0DA4">
        <w:t xml:space="preserve">, </w:t>
      </w:r>
      <w:r>
        <w:t>health and medical artifacts</w:t>
      </w:r>
      <w:r w:rsidR="003F24D8">
        <w:t xml:space="preserve"> reinforc</w:t>
      </w:r>
      <w:r>
        <w:t>e</w:t>
      </w:r>
      <w:r w:rsidR="003F24D8">
        <w:t xml:space="preserve"> dominant narratives of seeing and knowing the inner workings of the body</w:t>
      </w:r>
      <w:r>
        <w:t xml:space="preserve"> and, in so doing, promote h</w:t>
      </w:r>
      <w:r w:rsidR="006D5E03">
        <w:t xml:space="preserve">ealthist values (Crawford, </w:t>
      </w:r>
      <w:r w:rsidR="00051825">
        <w:t>1980</w:t>
      </w:r>
      <w:r w:rsidR="006D5E03">
        <w:t>)</w:t>
      </w:r>
      <w:r>
        <w:t xml:space="preserve"> alongside</w:t>
      </w:r>
      <w:r w:rsidR="006D5E03">
        <w:t xml:space="preserve"> neoliberal assumptions (Lupton, </w:t>
      </w:r>
      <w:r w:rsidR="00051825">
        <w:t>1995</w:t>
      </w:r>
      <w:r w:rsidR="006D5E03">
        <w:t xml:space="preserve">). </w:t>
      </w:r>
      <w:r w:rsidR="003F24D8">
        <w:t>At some point, i</w:t>
      </w:r>
      <w:r w:rsidR="009C0DF7">
        <w:t xml:space="preserve">t becomes difficult to </w:t>
      </w:r>
      <w:r w:rsidR="00857368">
        <w:t>extricate artifacts from the ways of</w:t>
      </w:r>
      <w:r w:rsidR="003F24D8">
        <w:t xml:space="preserve"> thinking about and treating the body</w:t>
      </w:r>
      <w:r w:rsidR="00857368">
        <w:t xml:space="preserve"> that coincide with their ubiquitous production and use. </w:t>
      </w:r>
      <w:r w:rsidR="004315E6">
        <w:t>Scholars</w:t>
      </w:r>
      <w:r w:rsidR="008C4FF9">
        <w:t>,</w:t>
      </w:r>
      <w:r w:rsidR="004315E6">
        <w:t xml:space="preserve"> including Cole (2022), Fountain (2014), </w:t>
      </w:r>
      <w:r w:rsidR="00E77BF9">
        <w:lastRenderedPageBreak/>
        <w:t xml:space="preserve">Gangstad (2021), Kennedy et al. (2021), Kessler (2022), Maher (2020), </w:t>
      </w:r>
      <w:r w:rsidR="008C4FF9">
        <w:t xml:space="preserve">and </w:t>
      </w:r>
      <w:r w:rsidR="00E77BF9">
        <w:t xml:space="preserve">Wellhausen and Bivens (2022) </w:t>
      </w:r>
      <w:r w:rsidR="00862B7C">
        <w:t xml:space="preserve">have </w:t>
      </w:r>
      <w:r w:rsidR="00E77BF9">
        <w:t>offer</w:t>
      </w:r>
      <w:r w:rsidR="00862B7C">
        <w:t>ed</w:t>
      </w:r>
      <w:r w:rsidR="00E77BF9">
        <w:t xml:space="preserve"> examples of how artifactual </w:t>
      </w:r>
      <w:r w:rsidR="00C22771">
        <w:t xml:space="preserve">evidence </w:t>
      </w:r>
      <w:r w:rsidR="00E77BF9">
        <w:t xml:space="preserve">can enrich rhetorical examinations of </w:t>
      </w:r>
      <w:r w:rsidR="00C22771">
        <w:t xml:space="preserve">and knowledge-making in </w:t>
      </w:r>
      <w:r w:rsidR="00E77BF9">
        <w:t>health and medical contexts</w:t>
      </w:r>
      <w:r w:rsidR="00862B7C">
        <w:t xml:space="preserve"> and vice versa</w:t>
      </w:r>
      <w:r w:rsidR="00E77BF9">
        <w:t xml:space="preserve">. </w:t>
      </w:r>
      <w:r w:rsidR="00C22771">
        <w:t>This work, among other forays into artifactual study, suggest</w:t>
      </w:r>
      <w:r w:rsidR="00862B7C">
        <w:t>s</w:t>
      </w:r>
      <w:r w:rsidR="00C22771">
        <w:t xml:space="preserve"> the promise of further scholarship focused on health and medical artifacts</w:t>
      </w:r>
      <w:r w:rsidR="00862B7C">
        <w:t xml:space="preserve"> through rhetorical lenses</w:t>
      </w:r>
      <w:r w:rsidR="00C22771">
        <w:t xml:space="preserve">.  </w:t>
      </w:r>
    </w:p>
    <w:p w14:paraId="5F73AE16" w14:textId="2CD00792" w:rsidR="00C22771" w:rsidRDefault="00974EE8" w:rsidP="005E371B">
      <w:r>
        <w:t xml:space="preserve">Given the richly generative nature of thinking about and with </w:t>
      </w:r>
      <w:r w:rsidR="007F77F6">
        <w:t xml:space="preserve">health and </w:t>
      </w:r>
      <w:r>
        <w:t>medical artifacts, it is not surprising that i</w:t>
      </w:r>
      <w:r w:rsidR="00F32943">
        <w:t>nterdisciplinary fields of study</w:t>
      </w:r>
      <w:r w:rsidR="004C6A67">
        <w:t>,</w:t>
      </w:r>
      <w:r w:rsidR="00F32943">
        <w:t xml:space="preserve"> such as material culture studies, medical humanities, and medical anthropology, have taken on health artifacts in all of their complexit</w:t>
      </w:r>
      <w:r w:rsidR="00862B7C">
        <w:t>ies</w:t>
      </w:r>
      <w:r>
        <w:t>.</w:t>
      </w:r>
      <w:r w:rsidR="00F32943">
        <w:t xml:space="preserve"> </w:t>
      </w:r>
      <w:r>
        <w:t>S</w:t>
      </w:r>
      <w:r w:rsidR="00F32943">
        <w:t xml:space="preserve">uch inquiries have grappled with </w:t>
      </w:r>
      <w:r w:rsidR="004C6A67">
        <w:t xml:space="preserve">the epistemological lineages, agencies, and forces of such objects—do the objects themselves predetermine and mandate the attitudes, opinions, and practices that they perpetuate, or do such dispositions lead to their creation? </w:t>
      </w:r>
      <w:r w:rsidR="00862B7C">
        <w:t xml:space="preserve">To what extent do artifacts have agency, to what degree do they require human intervention, and how do they augment human agency? </w:t>
      </w:r>
      <w:r w:rsidR="004C6A67">
        <w:t>Th</w:t>
      </w:r>
      <w:r w:rsidR="000C0DA4">
        <w:t xml:space="preserve">e chapters in this </w:t>
      </w:r>
      <w:r w:rsidR="004C6A67">
        <w:t xml:space="preserve">collection will </w:t>
      </w:r>
      <w:r w:rsidR="000C0DA4">
        <w:t xml:space="preserve">enter into the </w:t>
      </w:r>
      <w:r w:rsidRPr="00974EE8">
        <w:t>densities</w:t>
      </w:r>
      <w:r w:rsidR="000C0DA4">
        <w:t xml:space="preserve"> inherent in health and medical artifacts by relying on rhetorical theories, lenses, and methodologies to lend clarity to specific artifacts—their history, agency, ontology, and epistemological thrust</w:t>
      </w:r>
      <w:r w:rsidR="00F503CB">
        <w:t xml:space="preserve">. </w:t>
      </w:r>
    </w:p>
    <w:p w14:paraId="30AFEED0" w14:textId="41722497" w:rsidR="00190BBB" w:rsidRDefault="00190BBB" w:rsidP="00987D12">
      <w:pPr>
        <w:rPr>
          <w:b/>
        </w:rPr>
      </w:pPr>
      <w:r>
        <w:rPr>
          <w:b/>
        </w:rPr>
        <w:t>Guiding Questions</w:t>
      </w:r>
    </w:p>
    <w:p w14:paraId="52F2897C" w14:textId="7027421C" w:rsidR="00A0274E" w:rsidRDefault="00A0274E" w:rsidP="00987D12">
      <w:r>
        <w:t>Many questions guide this anticipated volume, including</w:t>
      </w:r>
      <w:r w:rsidR="00974EE8">
        <w:t>:</w:t>
      </w:r>
    </w:p>
    <w:p w14:paraId="0A552A87" w14:textId="15CE34E1" w:rsidR="00A0274E" w:rsidRDefault="00A0274E" w:rsidP="00A0274E">
      <w:pPr>
        <w:pStyle w:val="ListParagraph"/>
        <w:numPr>
          <w:ilvl w:val="0"/>
          <w:numId w:val="2"/>
        </w:numPr>
      </w:pPr>
      <w:r>
        <w:t>How do the material objects that permeate health and medic</w:t>
      </w:r>
      <w:r w:rsidR="008C4FF9">
        <w:t>al</w:t>
      </w:r>
      <w:r>
        <w:t xml:space="preserve"> spaces influence our beliefs about the body, disease, social ills, medical </w:t>
      </w:r>
      <w:r w:rsidR="00773C3F">
        <w:t>intervention</w:t>
      </w:r>
      <w:r>
        <w:t>, etc.?</w:t>
      </w:r>
    </w:p>
    <w:p w14:paraId="04A80FC2" w14:textId="64D86C81" w:rsidR="00A0274E" w:rsidRDefault="00B33A24" w:rsidP="00A0274E">
      <w:pPr>
        <w:pStyle w:val="ListParagraph"/>
        <w:numPr>
          <w:ilvl w:val="0"/>
          <w:numId w:val="2"/>
        </w:numPr>
      </w:pPr>
      <w:r>
        <w:t>In what ways do health and medic</w:t>
      </w:r>
      <w:r w:rsidR="00974EE8">
        <w:t>al</w:t>
      </w:r>
      <w:r>
        <w:t xml:space="preserve"> artifacts emerge from specific gaps in knowledge, and from whose perspective</w:t>
      </w:r>
      <w:r w:rsidR="00CE7158">
        <w:t>/gaze</w:t>
      </w:r>
      <w:r>
        <w:t xml:space="preserve"> do these gaps and </w:t>
      </w:r>
      <w:r w:rsidR="00CE7158">
        <w:t>situated artifacts enter health and medic</w:t>
      </w:r>
      <w:r w:rsidR="002036C3">
        <w:t>al</w:t>
      </w:r>
      <w:r w:rsidR="00F503CB">
        <w:t xml:space="preserve"> contexts?</w:t>
      </w:r>
    </w:p>
    <w:p w14:paraId="31E8F7F9" w14:textId="276A6839" w:rsidR="00CE7158" w:rsidRDefault="00CE7158" w:rsidP="00A0274E">
      <w:pPr>
        <w:pStyle w:val="ListParagraph"/>
        <w:numPr>
          <w:ilvl w:val="0"/>
          <w:numId w:val="2"/>
        </w:numPr>
      </w:pPr>
      <w:r>
        <w:t>What rhetorical tensions (e.g., political struggles</w:t>
      </w:r>
      <w:r w:rsidR="00773C3F">
        <w:t>, paradigm shifts</w:t>
      </w:r>
      <w:r>
        <w:t>) influence the creation and/or use of health and medic</w:t>
      </w:r>
      <w:r w:rsidR="008C4FF9">
        <w:t>al</w:t>
      </w:r>
      <w:r>
        <w:t xml:space="preserve"> artifacts?</w:t>
      </w:r>
    </w:p>
    <w:p w14:paraId="20B43E53" w14:textId="5166E855" w:rsidR="00CE7158" w:rsidRDefault="00CE7158" w:rsidP="00A0274E">
      <w:pPr>
        <w:pStyle w:val="ListParagraph"/>
        <w:numPr>
          <w:ilvl w:val="0"/>
          <w:numId w:val="2"/>
        </w:numPr>
      </w:pPr>
      <w:r>
        <w:t>How have health and medic</w:t>
      </w:r>
      <w:r w:rsidR="00974EE8">
        <w:t>al</w:t>
      </w:r>
      <w:r>
        <w:t xml:space="preserve"> artifacts been promoted at specific sociohistorical moments, and to what end?</w:t>
      </w:r>
    </w:p>
    <w:p w14:paraId="1BAF1D00" w14:textId="7DB29B40" w:rsidR="007F77F6" w:rsidRDefault="007F77F6" w:rsidP="00A0274E">
      <w:pPr>
        <w:pStyle w:val="ListParagraph"/>
        <w:numPr>
          <w:ilvl w:val="0"/>
          <w:numId w:val="2"/>
        </w:numPr>
      </w:pPr>
      <w:r>
        <w:t xml:space="preserve">What do the tangible features of health and medical artifacts reveal about their intended use, cultural value, </w:t>
      </w:r>
      <w:r w:rsidR="002036C3">
        <w:t xml:space="preserve">and </w:t>
      </w:r>
      <w:r>
        <w:t xml:space="preserve">assumed user compliance? </w:t>
      </w:r>
    </w:p>
    <w:p w14:paraId="02B417FC" w14:textId="58EECDD2" w:rsidR="00CE7158" w:rsidRDefault="00CE7158" w:rsidP="00A0274E">
      <w:pPr>
        <w:pStyle w:val="ListParagraph"/>
        <w:numPr>
          <w:ilvl w:val="0"/>
          <w:numId w:val="2"/>
        </w:numPr>
      </w:pPr>
      <w:r>
        <w:t>In what ways are individuals and populations constructed around or in concert with health and medic</w:t>
      </w:r>
      <w:r w:rsidR="008C4FF9">
        <w:t>al</w:t>
      </w:r>
      <w:r>
        <w:t xml:space="preserve"> artifacts?</w:t>
      </w:r>
      <w:r w:rsidR="00773C3F">
        <w:t xml:space="preserve"> How do these constructions elevate or marginalize </w:t>
      </w:r>
      <w:r w:rsidR="002036C3">
        <w:t>specific demographics</w:t>
      </w:r>
      <w:r w:rsidR="00773C3F">
        <w:t>?</w:t>
      </w:r>
    </w:p>
    <w:p w14:paraId="20EEC44F" w14:textId="72A6FFDA" w:rsidR="00F97FBE" w:rsidRPr="007F77F6" w:rsidRDefault="00CE7158" w:rsidP="00527F8C">
      <w:pPr>
        <w:pStyle w:val="ListParagraph"/>
        <w:numPr>
          <w:ilvl w:val="0"/>
          <w:numId w:val="2"/>
        </w:numPr>
      </w:pPr>
      <w:r>
        <w:t>How are we, as scholars, health consumers, and practitioners of health and medic</w:t>
      </w:r>
      <w:r w:rsidR="007F77F6">
        <w:t>al</w:t>
      </w:r>
      <w:r>
        <w:t xml:space="preserve"> practices, affected by specific health and medic</w:t>
      </w:r>
      <w:r w:rsidR="002036C3">
        <w:t>al</w:t>
      </w:r>
      <w:r>
        <w:t xml:space="preserve"> artifacts? What larger messages do these experiences </w:t>
      </w:r>
      <w:r w:rsidR="007F77F6">
        <w:t>lend perspective to</w:t>
      </w:r>
      <w:r>
        <w:t xml:space="preserve">?  </w:t>
      </w:r>
    </w:p>
    <w:p w14:paraId="60871899" w14:textId="194E3C09" w:rsidR="00527F8C" w:rsidRPr="00527F8C" w:rsidRDefault="00527F8C" w:rsidP="00527F8C">
      <w:pPr>
        <w:rPr>
          <w:b/>
          <w:bCs/>
        </w:rPr>
      </w:pPr>
      <w:r w:rsidRPr="00527F8C">
        <w:rPr>
          <w:b/>
          <w:bCs/>
        </w:rPr>
        <w:lastRenderedPageBreak/>
        <w:t>Schedule</w:t>
      </w:r>
      <w:r w:rsidR="00B732ED">
        <w:rPr>
          <w:b/>
          <w:bCs/>
        </w:rPr>
        <w:t xml:space="preserve"> and </w:t>
      </w:r>
      <w:r w:rsidR="00F97FBE">
        <w:rPr>
          <w:b/>
          <w:bCs/>
        </w:rPr>
        <w:t>Editor Contacts</w:t>
      </w:r>
      <w:r w:rsidR="00B732ED">
        <w:rPr>
          <w:b/>
          <w:bCs/>
        </w:rPr>
        <w:t xml:space="preserve"> </w:t>
      </w:r>
    </w:p>
    <w:p w14:paraId="193FB37A" w14:textId="0DD331AE" w:rsidR="00527F8C" w:rsidRDefault="00527F8C" w:rsidP="00527F8C">
      <w:r w:rsidRPr="00527F8C">
        <w:rPr>
          <w:u w:val="single"/>
        </w:rPr>
        <w:t xml:space="preserve">May </w:t>
      </w:r>
      <w:r w:rsidR="00B732ED">
        <w:rPr>
          <w:u w:val="single"/>
        </w:rPr>
        <w:t>25</w:t>
      </w:r>
      <w:r w:rsidRPr="00527F8C">
        <w:rPr>
          <w:u w:val="single"/>
        </w:rPr>
        <w:t>, 2026:</w:t>
      </w:r>
      <w:r>
        <w:t xml:space="preserve"> </w:t>
      </w:r>
      <w:r>
        <w:tab/>
        <w:t>600-word (</w:t>
      </w:r>
      <w:r w:rsidR="00974EE8">
        <w:t xml:space="preserve">including </w:t>
      </w:r>
      <w:r>
        <w:t>citations) chapter proposals due</w:t>
      </w:r>
    </w:p>
    <w:p w14:paraId="6A814D00" w14:textId="3F9940A7" w:rsidR="00527F8C" w:rsidRDefault="00527F8C" w:rsidP="00527F8C">
      <w:r w:rsidRPr="00527F8C">
        <w:rPr>
          <w:u w:val="single"/>
        </w:rPr>
        <w:t xml:space="preserve">June </w:t>
      </w:r>
      <w:r w:rsidR="00007CBA">
        <w:rPr>
          <w:u w:val="single"/>
        </w:rPr>
        <w:t>2</w:t>
      </w:r>
      <w:r w:rsidR="00B732ED">
        <w:rPr>
          <w:u w:val="single"/>
        </w:rPr>
        <w:t>5</w:t>
      </w:r>
      <w:r w:rsidRPr="00527F8C">
        <w:rPr>
          <w:u w:val="single"/>
        </w:rPr>
        <w:t>, 2026:</w:t>
      </w:r>
      <w:r>
        <w:t xml:space="preserve"> </w:t>
      </w:r>
      <w:r>
        <w:tab/>
        <w:t>Notifications of acceptance</w:t>
      </w:r>
    </w:p>
    <w:p w14:paraId="23314911" w14:textId="7357AFDE" w:rsidR="00527F8C" w:rsidRDefault="00B732ED" w:rsidP="00527F8C">
      <w:r>
        <w:rPr>
          <w:u w:val="single"/>
        </w:rPr>
        <w:t>November 1</w:t>
      </w:r>
      <w:r w:rsidR="00527F8C" w:rsidRPr="00527F8C">
        <w:rPr>
          <w:u w:val="single"/>
        </w:rPr>
        <w:t>, 2026:</w:t>
      </w:r>
      <w:r w:rsidR="00527F8C">
        <w:tab/>
        <w:t>Chapter drafts due</w:t>
      </w:r>
      <w:r w:rsidR="008C4FF9">
        <w:t xml:space="preserve"> (6500 words, including citations)</w:t>
      </w:r>
    </w:p>
    <w:p w14:paraId="2EAB00DF" w14:textId="1F70047C" w:rsidR="00527F8C" w:rsidRDefault="00B732ED" w:rsidP="00527F8C">
      <w:r w:rsidRPr="00B732ED">
        <w:rPr>
          <w:u w:val="single"/>
        </w:rPr>
        <w:t>January 15, 2027:</w:t>
      </w:r>
      <w:r w:rsidR="00EE4873">
        <w:tab/>
      </w:r>
      <w:r w:rsidR="00527F8C">
        <w:t>Editor feedback and suggestions for revisions</w:t>
      </w:r>
    </w:p>
    <w:p w14:paraId="194FB5BC" w14:textId="78EE2176" w:rsidR="00527F8C" w:rsidRDefault="00B732ED" w:rsidP="00527F8C">
      <w:r>
        <w:rPr>
          <w:u w:val="single"/>
        </w:rPr>
        <w:t>March 15, 2027:</w:t>
      </w:r>
      <w:r w:rsidR="00527F8C">
        <w:tab/>
        <w:t xml:space="preserve">Revised chapters due </w:t>
      </w:r>
    </w:p>
    <w:p w14:paraId="4A07E620" w14:textId="6BF5593B" w:rsidR="00F97FBE" w:rsidRDefault="00F97FBE" w:rsidP="00527F8C">
      <w:r>
        <w:t>*****</w:t>
      </w:r>
    </w:p>
    <w:p w14:paraId="5CADB4EF" w14:textId="0AC45AE7" w:rsidR="00B732ED" w:rsidRDefault="00F97FBE" w:rsidP="00527F8C">
      <w:r>
        <w:t>Q</w:t>
      </w:r>
      <w:r w:rsidR="00B732ED">
        <w:t>ueries a</w:t>
      </w:r>
      <w:r>
        <w:t>re welcome. Please send all queries a</w:t>
      </w:r>
      <w:r w:rsidR="00B732ED">
        <w:t xml:space="preserve">nd proposals </w:t>
      </w:r>
      <w:r>
        <w:t xml:space="preserve">(by the stated deadline) </w:t>
      </w:r>
      <w:r w:rsidR="00B732ED">
        <w:t xml:space="preserve">to </w:t>
      </w:r>
      <w:r>
        <w:t>all three</w:t>
      </w:r>
      <w:r w:rsidR="00B732ED">
        <w:t xml:space="preserve"> editors:</w:t>
      </w:r>
    </w:p>
    <w:p w14:paraId="4A15720A" w14:textId="539381EF" w:rsidR="00B732ED" w:rsidRDefault="00B732ED" w:rsidP="00527F8C">
      <w:r>
        <w:t>Cynthia Ryan (</w:t>
      </w:r>
      <w:hyperlink r:id="rId5" w:history="1">
        <w:r w:rsidRPr="00486346">
          <w:rPr>
            <w:rStyle w:val="Hyperlink"/>
          </w:rPr>
          <w:t>cynryan@uab.edu</w:t>
        </w:r>
      </w:hyperlink>
      <w:r>
        <w:t>)</w:t>
      </w:r>
    </w:p>
    <w:p w14:paraId="52CB4BCD" w14:textId="76797F72" w:rsidR="00B732ED" w:rsidRDefault="00B732ED" w:rsidP="00527F8C">
      <w:r>
        <w:t xml:space="preserve">Lisa </w:t>
      </w:r>
      <w:r w:rsidRPr="00B732ED">
        <w:t>Melon</w:t>
      </w:r>
      <w:r w:rsidRPr="00B732ED">
        <w:rPr>
          <w:rFonts w:ascii="Aptos" w:hAnsi="Aptos"/>
        </w:rPr>
        <w:t>ç</w:t>
      </w:r>
      <w:r w:rsidRPr="00B732ED">
        <w:t>on</w:t>
      </w:r>
      <w:r>
        <w:t xml:space="preserve"> (</w:t>
      </w:r>
      <w:hyperlink r:id="rId6" w:history="1">
        <w:r w:rsidR="00F97FBE" w:rsidRPr="00486346">
          <w:rPr>
            <w:rStyle w:val="Hyperlink"/>
          </w:rPr>
          <w:t>meloncon.research@gmail.com</w:t>
        </w:r>
      </w:hyperlink>
      <w:r w:rsidR="00F97FBE">
        <w:t>)</w:t>
      </w:r>
    </w:p>
    <w:p w14:paraId="11D7D485" w14:textId="29E009C4" w:rsidR="00F95AF7" w:rsidRDefault="00F97FBE">
      <w:r>
        <w:t>Cathryn Molloy (</w:t>
      </w:r>
      <w:hyperlink r:id="rId7" w:history="1">
        <w:r w:rsidRPr="00486346">
          <w:rPr>
            <w:rStyle w:val="Hyperlink"/>
          </w:rPr>
          <w:t>csmolloy@udel.edu</w:t>
        </w:r>
      </w:hyperlink>
      <w:r>
        <w:t>)</w:t>
      </w:r>
    </w:p>
    <w:p w14:paraId="37F4F0E2" w14:textId="77777777" w:rsidR="00F97FBE" w:rsidRDefault="00F97FBE"/>
    <w:p w14:paraId="6E7CBEDE" w14:textId="3940DAFB" w:rsidR="00F95AF7" w:rsidRDefault="00F95AF7">
      <w:pPr>
        <w:rPr>
          <w:b/>
          <w:bCs/>
        </w:rPr>
      </w:pPr>
      <w:r w:rsidRPr="00E51174">
        <w:rPr>
          <w:b/>
          <w:bCs/>
        </w:rPr>
        <w:t>References</w:t>
      </w:r>
    </w:p>
    <w:p w14:paraId="1B0156DB" w14:textId="4EBA75DA" w:rsidR="00267B47" w:rsidRPr="00CE03AC" w:rsidRDefault="00267B47">
      <w:r>
        <w:t xml:space="preserve">Cole, Kristen. (2022). </w:t>
      </w:r>
      <w:r w:rsidR="00CE03AC">
        <w:t>Selling a cure for chronicity: A layered narrative analysis of direct-to</w:t>
      </w:r>
      <w:r w:rsidR="00CE03AC">
        <w:tab/>
        <w:t xml:space="preserve">consumer Humira® advertisements. </w:t>
      </w:r>
      <w:r w:rsidR="00CE03AC">
        <w:rPr>
          <w:i/>
          <w:iCs/>
        </w:rPr>
        <w:t>RHM, 5</w:t>
      </w:r>
      <w:r w:rsidR="00CE03AC">
        <w:t>(2), 212-39.</w:t>
      </w:r>
    </w:p>
    <w:p w14:paraId="17247F1D" w14:textId="0064AEB9" w:rsidR="00F95AF7" w:rsidRPr="00E51174" w:rsidRDefault="00F95AF7">
      <w:pPr>
        <w:rPr>
          <w:i/>
          <w:iCs/>
        </w:rPr>
      </w:pPr>
      <w:r>
        <w:t xml:space="preserve">Crawford, Robert. </w:t>
      </w:r>
      <w:r w:rsidR="00CD10EC">
        <w:t xml:space="preserve">(1980). Healthism and the medicalization of everyday life. </w:t>
      </w:r>
      <w:r w:rsidR="00CD10EC">
        <w:rPr>
          <w:i/>
          <w:iCs/>
        </w:rPr>
        <w:t>International</w:t>
      </w:r>
      <w:r w:rsidR="00CD10EC">
        <w:rPr>
          <w:i/>
          <w:iCs/>
        </w:rPr>
        <w:tab/>
        <w:t>Journal of Health Services, 10</w:t>
      </w:r>
      <w:r w:rsidR="00CD10EC">
        <w:t>(3)</w:t>
      </w:r>
      <w:r w:rsidR="00CD10EC">
        <w:rPr>
          <w:i/>
          <w:iCs/>
        </w:rPr>
        <w:t>, 365-88.</w:t>
      </w:r>
    </w:p>
    <w:p w14:paraId="0FE23EBD" w14:textId="392DBAAE" w:rsidR="00D8246C" w:rsidRDefault="00D8246C">
      <w:r>
        <w:t>Fount</w:t>
      </w:r>
      <w:r w:rsidR="00051825">
        <w:t>a</w:t>
      </w:r>
      <w:r>
        <w:t xml:space="preserve">in, T. Kenny. (2014). </w:t>
      </w:r>
      <w:r>
        <w:rPr>
          <w:i/>
          <w:iCs/>
        </w:rPr>
        <w:t xml:space="preserve">Rhetoric in the flesh: Trained </w:t>
      </w:r>
      <w:r w:rsidR="00CE03AC">
        <w:rPr>
          <w:i/>
          <w:iCs/>
        </w:rPr>
        <w:t>v</w:t>
      </w:r>
      <w:r>
        <w:rPr>
          <w:i/>
          <w:iCs/>
        </w:rPr>
        <w:t xml:space="preserve">ision, </w:t>
      </w:r>
      <w:r w:rsidR="00CE03AC">
        <w:rPr>
          <w:i/>
          <w:iCs/>
        </w:rPr>
        <w:t>t</w:t>
      </w:r>
      <w:r>
        <w:rPr>
          <w:i/>
          <w:iCs/>
        </w:rPr>
        <w:t xml:space="preserve">echnical </w:t>
      </w:r>
      <w:r w:rsidR="00CE03AC">
        <w:rPr>
          <w:i/>
          <w:iCs/>
        </w:rPr>
        <w:t>e</w:t>
      </w:r>
      <w:r>
        <w:rPr>
          <w:i/>
          <w:iCs/>
        </w:rPr>
        <w:t>xpertise, and the</w:t>
      </w:r>
      <w:r>
        <w:rPr>
          <w:i/>
          <w:iCs/>
        </w:rPr>
        <w:tab/>
      </w:r>
      <w:r w:rsidR="00CE03AC">
        <w:rPr>
          <w:i/>
          <w:iCs/>
        </w:rPr>
        <w:t>g</w:t>
      </w:r>
      <w:r>
        <w:rPr>
          <w:i/>
          <w:iCs/>
        </w:rPr>
        <w:t xml:space="preserve">ross </w:t>
      </w:r>
      <w:r w:rsidR="00CE03AC">
        <w:rPr>
          <w:i/>
          <w:iCs/>
        </w:rPr>
        <w:t>a</w:t>
      </w:r>
      <w:r>
        <w:rPr>
          <w:i/>
          <w:iCs/>
        </w:rPr>
        <w:t xml:space="preserve">natomy </w:t>
      </w:r>
      <w:r w:rsidR="00CE03AC">
        <w:rPr>
          <w:i/>
          <w:iCs/>
        </w:rPr>
        <w:t>l</w:t>
      </w:r>
      <w:r>
        <w:rPr>
          <w:i/>
          <w:iCs/>
        </w:rPr>
        <w:t xml:space="preserve">ab. </w:t>
      </w:r>
      <w:r>
        <w:t>Routledge.</w:t>
      </w:r>
    </w:p>
    <w:p w14:paraId="612DDB2F" w14:textId="1DBBD66E" w:rsidR="00051825" w:rsidRDefault="00051825">
      <w:r>
        <w:t>Gangstad, Erin Nicole. (2021). Making present, making absent: Exploring medical</w:t>
      </w:r>
      <w:r w:rsidR="00267B47">
        <w:tab/>
      </w:r>
      <w:r>
        <w:t xml:space="preserve">fundraising imagery through the National </w:t>
      </w:r>
      <w:r w:rsidR="00267B47">
        <w:t>Tuberculosis Association Christmas Seals.</w:t>
      </w:r>
      <w:r w:rsidR="00267B47">
        <w:tab/>
      </w:r>
      <w:r w:rsidR="00267B47">
        <w:rPr>
          <w:i/>
          <w:iCs/>
        </w:rPr>
        <w:t>RHM, 4</w:t>
      </w:r>
      <w:r w:rsidR="00267B47">
        <w:t xml:space="preserve">(3), 288-318. </w:t>
      </w:r>
    </w:p>
    <w:p w14:paraId="400B8447" w14:textId="70196928" w:rsidR="00EA4737" w:rsidRPr="00EA4737" w:rsidRDefault="00EA4737">
      <w:r>
        <w:t xml:space="preserve">Glassie, Henry. (1999). </w:t>
      </w:r>
      <w:r>
        <w:rPr>
          <w:i/>
          <w:iCs/>
        </w:rPr>
        <w:t xml:space="preserve">Material culture. </w:t>
      </w:r>
      <w:r>
        <w:t>Indiana University Press.</w:t>
      </w:r>
    </w:p>
    <w:p w14:paraId="5AFE5CC3" w14:textId="2B6E5ACB" w:rsidR="00051825" w:rsidRPr="00051825" w:rsidRDefault="00051825">
      <w:r>
        <w:t>Kennedy, Krista, Wilson, Noah, and Tschider, Charlotte. (2021). Balancing the ‘halo’: Data</w:t>
      </w:r>
      <w:r>
        <w:tab/>
        <w:t xml:space="preserve">surveillance disclosure and algorithmic opacity in smart hearing aids. </w:t>
      </w:r>
      <w:r>
        <w:rPr>
          <w:i/>
          <w:iCs/>
        </w:rPr>
        <w:t>RHM, 4</w:t>
      </w:r>
      <w:r>
        <w:t>(1),</w:t>
      </w:r>
      <w:r>
        <w:tab/>
      </w:r>
      <w:r>
        <w:tab/>
        <w:t>33-74.</w:t>
      </w:r>
    </w:p>
    <w:p w14:paraId="3753B365" w14:textId="7192B9AE" w:rsidR="00051825" w:rsidRPr="00E51174" w:rsidRDefault="00051825">
      <w:pPr>
        <w:rPr>
          <w:i/>
          <w:iCs/>
        </w:rPr>
      </w:pPr>
      <w:r>
        <w:t xml:space="preserve">Kessler, Molly Margaret. (2022). </w:t>
      </w:r>
      <w:r>
        <w:rPr>
          <w:i/>
          <w:iCs/>
        </w:rPr>
        <w:t>Stigma stories: Rhetoric, lived experience, and chronic</w:t>
      </w:r>
      <w:r>
        <w:rPr>
          <w:i/>
          <w:iCs/>
        </w:rPr>
        <w:tab/>
        <w:t xml:space="preserve">illness. </w:t>
      </w:r>
      <w:r>
        <w:t xml:space="preserve">Ohio State University Press. </w:t>
      </w:r>
      <w:r>
        <w:rPr>
          <w:i/>
          <w:iCs/>
        </w:rPr>
        <w:t xml:space="preserve"> </w:t>
      </w:r>
    </w:p>
    <w:p w14:paraId="612DFC9E" w14:textId="6C758901" w:rsidR="00F95AF7" w:rsidRDefault="00F95AF7">
      <w:r>
        <w:lastRenderedPageBreak/>
        <w:t>Lupton, Deborah.</w:t>
      </w:r>
      <w:r w:rsidR="00CD10EC">
        <w:t xml:space="preserve"> (1995). </w:t>
      </w:r>
      <w:r w:rsidR="00CD10EC">
        <w:rPr>
          <w:i/>
          <w:iCs/>
        </w:rPr>
        <w:t>The imperative of health</w:t>
      </w:r>
      <w:r w:rsidR="00051825">
        <w:rPr>
          <w:i/>
          <w:iCs/>
        </w:rPr>
        <w:t xml:space="preserve">: Public health and the regulated body. </w:t>
      </w:r>
      <w:r w:rsidR="00051825">
        <w:rPr>
          <w:i/>
          <w:iCs/>
        </w:rPr>
        <w:tab/>
      </w:r>
      <w:r w:rsidR="00051825">
        <w:t xml:space="preserve">SAGE. </w:t>
      </w:r>
      <w:r>
        <w:t xml:space="preserve"> </w:t>
      </w:r>
    </w:p>
    <w:p w14:paraId="0EDAD4AA" w14:textId="1795F6DA" w:rsidR="00E51174" w:rsidRPr="00E51174" w:rsidRDefault="00E51174">
      <w:pPr>
        <w:rPr>
          <w:i/>
          <w:iCs/>
        </w:rPr>
      </w:pPr>
      <w:r>
        <w:t>Maher, Jennifer Helene. (2020). Challenging racial disparities in and through public health</w:t>
      </w:r>
      <w:r>
        <w:tab/>
        <w:t xml:space="preserve">campaigns: The advocacy of social justice. In Lisa Meloncon, S. Scott Graham, </w:t>
      </w:r>
      <w:r>
        <w:tab/>
        <w:t xml:space="preserve">Jenell Johnson, John A. Lynch, and Cynthia Ryan (Eds.), </w:t>
      </w:r>
      <w:r>
        <w:rPr>
          <w:i/>
          <w:iCs/>
        </w:rPr>
        <w:t xml:space="preserve">Rhetoric of health and </w:t>
      </w:r>
      <w:r>
        <w:rPr>
          <w:i/>
          <w:iCs/>
        </w:rPr>
        <w:tab/>
        <w:t>medicine as/is: Theories and approaches for the field</w:t>
      </w:r>
      <w:r>
        <w:t xml:space="preserve"> (pp.  ). Ohio State University </w:t>
      </w:r>
      <w:r>
        <w:tab/>
        <w:t xml:space="preserve">Press. </w:t>
      </w:r>
      <w:r>
        <w:rPr>
          <w:i/>
          <w:iCs/>
        </w:rPr>
        <w:t xml:space="preserve"> </w:t>
      </w:r>
    </w:p>
    <w:p w14:paraId="7832944C" w14:textId="5261F519" w:rsidR="00F95AF7" w:rsidRPr="00E51174" w:rsidRDefault="00F95AF7">
      <w:pPr>
        <w:rPr>
          <w:i/>
          <w:iCs/>
        </w:rPr>
      </w:pPr>
      <w:r>
        <w:t xml:space="preserve">Teston, Christa. </w:t>
      </w:r>
      <w:r>
        <w:rPr>
          <w:i/>
          <w:iCs/>
        </w:rPr>
        <w:t xml:space="preserve">Bodies in </w:t>
      </w:r>
      <w:r w:rsidR="00051825">
        <w:rPr>
          <w:i/>
          <w:iCs/>
        </w:rPr>
        <w:t>f</w:t>
      </w:r>
      <w:r>
        <w:rPr>
          <w:i/>
          <w:iCs/>
        </w:rPr>
        <w:t xml:space="preserve">lux: </w:t>
      </w:r>
      <w:r w:rsidR="00051825">
        <w:rPr>
          <w:i/>
          <w:iCs/>
        </w:rPr>
        <w:t>Scientific methods for negotiating medical uncertainty.</w:t>
      </w:r>
      <w:r w:rsidR="00051825">
        <w:tab/>
        <w:t>University of Chicago Press.</w:t>
      </w:r>
      <w:r w:rsidR="00051825">
        <w:rPr>
          <w:i/>
          <w:iCs/>
        </w:rPr>
        <w:t xml:space="preserve"> </w:t>
      </w:r>
    </w:p>
    <w:p w14:paraId="2D188191" w14:textId="2C648EC0" w:rsidR="00BD453A" w:rsidRPr="00267B47" w:rsidRDefault="00267B47">
      <w:r>
        <w:t>Wellhausen, Candace, and Bivens, Christa. (2022). Civilian responder mHealth apps,</w:t>
      </w:r>
      <w:r>
        <w:tab/>
        <w:t xml:space="preserve">interface rhetoric, and amplified precarity. </w:t>
      </w:r>
      <w:r>
        <w:rPr>
          <w:i/>
          <w:iCs/>
        </w:rPr>
        <w:t>RHM, 5</w:t>
      </w:r>
      <w:r>
        <w:t>(1), 11-37.</w:t>
      </w:r>
    </w:p>
    <w:sectPr w:rsidR="00BD453A" w:rsidRPr="00267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33F91"/>
    <w:multiLevelType w:val="hybridMultilevel"/>
    <w:tmpl w:val="97C4B498"/>
    <w:lvl w:ilvl="0" w:tplc="FB6032B4">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F200C8"/>
    <w:multiLevelType w:val="hybridMultilevel"/>
    <w:tmpl w:val="A37C7F32"/>
    <w:lvl w:ilvl="0" w:tplc="EDE85F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560383">
    <w:abstractNumId w:val="1"/>
  </w:num>
  <w:num w:numId="2" w16cid:durableId="1619874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A2"/>
    <w:rsid w:val="00007CBA"/>
    <w:rsid w:val="00042538"/>
    <w:rsid w:val="00051825"/>
    <w:rsid w:val="00090A40"/>
    <w:rsid w:val="000C0DA4"/>
    <w:rsid w:val="000E094D"/>
    <w:rsid w:val="00142A67"/>
    <w:rsid w:val="00165BF0"/>
    <w:rsid w:val="00190BBB"/>
    <w:rsid w:val="00192450"/>
    <w:rsid w:val="001929CD"/>
    <w:rsid w:val="001E2C95"/>
    <w:rsid w:val="002036C3"/>
    <w:rsid w:val="002110C8"/>
    <w:rsid w:val="0022398C"/>
    <w:rsid w:val="00267B47"/>
    <w:rsid w:val="002F1477"/>
    <w:rsid w:val="002F31FF"/>
    <w:rsid w:val="00327A5B"/>
    <w:rsid w:val="0033412F"/>
    <w:rsid w:val="003F24D8"/>
    <w:rsid w:val="004315E6"/>
    <w:rsid w:val="0046734E"/>
    <w:rsid w:val="00482E79"/>
    <w:rsid w:val="00487214"/>
    <w:rsid w:val="004B63DF"/>
    <w:rsid w:val="004C3DCF"/>
    <w:rsid w:val="004C6A67"/>
    <w:rsid w:val="004E0151"/>
    <w:rsid w:val="004F4E37"/>
    <w:rsid w:val="00527F8C"/>
    <w:rsid w:val="00544951"/>
    <w:rsid w:val="005E371B"/>
    <w:rsid w:val="00613A30"/>
    <w:rsid w:val="006533CF"/>
    <w:rsid w:val="00674CD8"/>
    <w:rsid w:val="006D5E03"/>
    <w:rsid w:val="00722B06"/>
    <w:rsid w:val="007241F9"/>
    <w:rsid w:val="007272BB"/>
    <w:rsid w:val="00741FD8"/>
    <w:rsid w:val="00773C3F"/>
    <w:rsid w:val="00774B70"/>
    <w:rsid w:val="007F77F6"/>
    <w:rsid w:val="00806D0C"/>
    <w:rsid w:val="00857368"/>
    <w:rsid w:val="00861698"/>
    <w:rsid w:val="00862B7C"/>
    <w:rsid w:val="008C4FF9"/>
    <w:rsid w:val="00912E22"/>
    <w:rsid w:val="00927C4F"/>
    <w:rsid w:val="0094527A"/>
    <w:rsid w:val="00967C96"/>
    <w:rsid w:val="00971D53"/>
    <w:rsid w:val="00974EE8"/>
    <w:rsid w:val="00987D12"/>
    <w:rsid w:val="009A239A"/>
    <w:rsid w:val="009B058B"/>
    <w:rsid w:val="009C0DF7"/>
    <w:rsid w:val="00A0274E"/>
    <w:rsid w:val="00A351EA"/>
    <w:rsid w:val="00A933A0"/>
    <w:rsid w:val="00A95AB1"/>
    <w:rsid w:val="00AB395D"/>
    <w:rsid w:val="00AD5C46"/>
    <w:rsid w:val="00AF6668"/>
    <w:rsid w:val="00B05F42"/>
    <w:rsid w:val="00B33A24"/>
    <w:rsid w:val="00B618A2"/>
    <w:rsid w:val="00B732ED"/>
    <w:rsid w:val="00BD3BA9"/>
    <w:rsid w:val="00BD448B"/>
    <w:rsid w:val="00BD453A"/>
    <w:rsid w:val="00BD7929"/>
    <w:rsid w:val="00C03C5F"/>
    <w:rsid w:val="00C127A6"/>
    <w:rsid w:val="00C22771"/>
    <w:rsid w:val="00C85524"/>
    <w:rsid w:val="00CD10EC"/>
    <w:rsid w:val="00CD55EE"/>
    <w:rsid w:val="00CE03AC"/>
    <w:rsid w:val="00CE7158"/>
    <w:rsid w:val="00D1184C"/>
    <w:rsid w:val="00D166BC"/>
    <w:rsid w:val="00D52A6E"/>
    <w:rsid w:val="00D72E91"/>
    <w:rsid w:val="00D76D9C"/>
    <w:rsid w:val="00D8246C"/>
    <w:rsid w:val="00E51174"/>
    <w:rsid w:val="00E77BF9"/>
    <w:rsid w:val="00EA4737"/>
    <w:rsid w:val="00EE4873"/>
    <w:rsid w:val="00EF37AF"/>
    <w:rsid w:val="00F26FB7"/>
    <w:rsid w:val="00F32324"/>
    <w:rsid w:val="00F32943"/>
    <w:rsid w:val="00F503CB"/>
    <w:rsid w:val="00F72F84"/>
    <w:rsid w:val="00F87655"/>
    <w:rsid w:val="00F95AF7"/>
    <w:rsid w:val="00F97FBE"/>
    <w:rsid w:val="00FB29ED"/>
    <w:rsid w:val="00FB587A"/>
    <w:rsid w:val="00FF1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BCC60"/>
  <w15:chartTrackingRefBased/>
  <w15:docId w15:val="{1E171F95-4D73-1243-9B83-679261BB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8A2"/>
    <w:rPr>
      <w:rFonts w:eastAsiaTheme="majorEastAsia" w:cstheme="majorBidi"/>
      <w:color w:val="272727" w:themeColor="text1" w:themeTint="D8"/>
    </w:rPr>
  </w:style>
  <w:style w:type="paragraph" w:styleId="Title">
    <w:name w:val="Title"/>
    <w:basedOn w:val="Normal"/>
    <w:next w:val="Normal"/>
    <w:link w:val="TitleChar"/>
    <w:uiPriority w:val="10"/>
    <w:qFormat/>
    <w:rsid w:val="00B61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8A2"/>
    <w:pPr>
      <w:spacing w:before="160"/>
      <w:jc w:val="center"/>
    </w:pPr>
    <w:rPr>
      <w:i/>
      <w:iCs/>
      <w:color w:val="404040" w:themeColor="text1" w:themeTint="BF"/>
    </w:rPr>
  </w:style>
  <w:style w:type="character" w:customStyle="1" w:styleId="QuoteChar">
    <w:name w:val="Quote Char"/>
    <w:basedOn w:val="DefaultParagraphFont"/>
    <w:link w:val="Quote"/>
    <w:uiPriority w:val="29"/>
    <w:rsid w:val="00B618A2"/>
    <w:rPr>
      <w:i/>
      <w:iCs/>
      <w:color w:val="404040" w:themeColor="text1" w:themeTint="BF"/>
    </w:rPr>
  </w:style>
  <w:style w:type="paragraph" w:styleId="ListParagraph">
    <w:name w:val="List Paragraph"/>
    <w:basedOn w:val="Normal"/>
    <w:uiPriority w:val="34"/>
    <w:qFormat/>
    <w:rsid w:val="00B618A2"/>
    <w:pPr>
      <w:ind w:left="720"/>
      <w:contextualSpacing/>
    </w:pPr>
  </w:style>
  <w:style w:type="character" w:styleId="IntenseEmphasis">
    <w:name w:val="Intense Emphasis"/>
    <w:basedOn w:val="DefaultParagraphFont"/>
    <w:uiPriority w:val="21"/>
    <w:qFormat/>
    <w:rsid w:val="00B618A2"/>
    <w:rPr>
      <w:i/>
      <w:iCs/>
      <w:color w:val="0F4761" w:themeColor="accent1" w:themeShade="BF"/>
    </w:rPr>
  </w:style>
  <w:style w:type="paragraph" w:styleId="IntenseQuote">
    <w:name w:val="Intense Quote"/>
    <w:basedOn w:val="Normal"/>
    <w:next w:val="Normal"/>
    <w:link w:val="IntenseQuoteChar"/>
    <w:uiPriority w:val="30"/>
    <w:qFormat/>
    <w:rsid w:val="00B61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8A2"/>
    <w:rPr>
      <w:i/>
      <w:iCs/>
      <w:color w:val="0F4761" w:themeColor="accent1" w:themeShade="BF"/>
    </w:rPr>
  </w:style>
  <w:style w:type="character" w:styleId="IntenseReference">
    <w:name w:val="Intense Reference"/>
    <w:basedOn w:val="DefaultParagraphFont"/>
    <w:uiPriority w:val="32"/>
    <w:qFormat/>
    <w:rsid w:val="00B618A2"/>
    <w:rPr>
      <w:b/>
      <w:bCs/>
      <w:smallCaps/>
      <w:color w:val="0F4761" w:themeColor="accent1" w:themeShade="BF"/>
      <w:spacing w:val="5"/>
    </w:rPr>
  </w:style>
  <w:style w:type="character" w:styleId="CommentReference">
    <w:name w:val="annotation reference"/>
    <w:basedOn w:val="DefaultParagraphFont"/>
    <w:uiPriority w:val="99"/>
    <w:semiHidden/>
    <w:unhideWhenUsed/>
    <w:rsid w:val="00741FD8"/>
    <w:rPr>
      <w:sz w:val="16"/>
      <w:szCs w:val="16"/>
    </w:rPr>
  </w:style>
  <w:style w:type="paragraph" w:styleId="CommentText">
    <w:name w:val="annotation text"/>
    <w:basedOn w:val="Normal"/>
    <w:link w:val="CommentTextChar"/>
    <w:uiPriority w:val="99"/>
    <w:semiHidden/>
    <w:unhideWhenUsed/>
    <w:rsid w:val="00741FD8"/>
    <w:pPr>
      <w:spacing w:line="240" w:lineRule="auto"/>
    </w:pPr>
    <w:rPr>
      <w:sz w:val="20"/>
      <w:szCs w:val="20"/>
    </w:rPr>
  </w:style>
  <w:style w:type="character" w:customStyle="1" w:styleId="CommentTextChar">
    <w:name w:val="Comment Text Char"/>
    <w:basedOn w:val="DefaultParagraphFont"/>
    <w:link w:val="CommentText"/>
    <w:uiPriority w:val="99"/>
    <w:semiHidden/>
    <w:rsid w:val="00741FD8"/>
    <w:rPr>
      <w:sz w:val="20"/>
      <w:szCs w:val="20"/>
    </w:rPr>
  </w:style>
  <w:style w:type="paragraph" w:styleId="CommentSubject">
    <w:name w:val="annotation subject"/>
    <w:basedOn w:val="CommentText"/>
    <w:next w:val="CommentText"/>
    <w:link w:val="CommentSubjectChar"/>
    <w:uiPriority w:val="99"/>
    <w:semiHidden/>
    <w:unhideWhenUsed/>
    <w:rsid w:val="00741FD8"/>
    <w:rPr>
      <w:b/>
      <w:bCs/>
    </w:rPr>
  </w:style>
  <w:style w:type="character" w:customStyle="1" w:styleId="CommentSubjectChar">
    <w:name w:val="Comment Subject Char"/>
    <w:basedOn w:val="CommentTextChar"/>
    <w:link w:val="CommentSubject"/>
    <w:uiPriority w:val="99"/>
    <w:semiHidden/>
    <w:rsid w:val="00741FD8"/>
    <w:rPr>
      <w:b/>
      <w:bCs/>
      <w:sz w:val="20"/>
      <w:szCs w:val="20"/>
    </w:rPr>
  </w:style>
  <w:style w:type="paragraph" w:styleId="BalloonText">
    <w:name w:val="Balloon Text"/>
    <w:basedOn w:val="Normal"/>
    <w:link w:val="BalloonTextChar"/>
    <w:uiPriority w:val="99"/>
    <w:semiHidden/>
    <w:unhideWhenUsed/>
    <w:rsid w:val="007272B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272BB"/>
    <w:rPr>
      <w:rFonts w:ascii="Times New Roman" w:hAnsi="Times New Roman" w:cs="Times New Roman"/>
      <w:sz w:val="18"/>
      <w:szCs w:val="18"/>
    </w:rPr>
  </w:style>
  <w:style w:type="paragraph" w:styleId="Revision">
    <w:name w:val="Revision"/>
    <w:hidden/>
    <w:uiPriority w:val="99"/>
    <w:semiHidden/>
    <w:rsid w:val="0094527A"/>
    <w:pPr>
      <w:spacing w:after="0" w:line="240" w:lineRule="auto"/>
    </w:pPr>
  </w:style>
  <w:style w:type="character" w:styleId="Hyperlink">
    <w:name w:val="Hyperlink"/>
    <w:basedOn w:val="DefaultParagraphFont"/>
    <w:uiPriority w:val="99"/>
    <w:unhideWhenUsed/>
    <w:rsid w:val="00B732ED"/>
    <w:rPr>
      <w:color w:val="467886" w:themeColor="hyperlink"/>
      <w:u w:val="single"/>
    </w:rPr>
  </w:style>
  <w:style w:type="character" w:styleId="UnresolvedMention">
    <w:name w:val="Unresolved Mention"/>
    <w:basedOn w:val="DefaultParagraphFont"/>
    <w:uiPriority w:val="99"/>
    <w:semiHidden/>
    <w:unhideWhenUsed/>
    <w:rsid w:val="00B73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molloy@ud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oncon.research@gmail.com" TargetMode="External"/><Relationship Id="rId5" Type="http://schemas.openxmlformats.org/officeDocument/2006/relationships/hyperlink" Target="mailto:cynryan@uab.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6288</Characters>
  <Application>Microsoft Office Word</Application>
  <DocSecurity>0</DocSecurity>
  <Lines>109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Ryan</dc:creator>
  <cp:keywords/>
  <dc:description/>
  <cp:lastModifiedBy>Ryan, Cynthia</cp:lastModifiedBy>
  <cp:revision>2</cp:revision>
  <cp:lastPrinted>2026-03-17T20:01:00Z</cp:lastPrinted>
  <dcterms:created xsi:type="dcterms:W3CDTF">2026-03-23T18:08:00Z</dcterms:created>
  <dcterms:modified xsi:type="dcterms:W3CDTF">2026-03-23T18:08:00Z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2026-02-16T16:46:48Z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0f50eedf-2473-4b53-97ea-02494f8ae109</vt:lpwstr>
  </property>
  <property fmtid="{D5CDD505-2E9C-101B-9397-08002B2CF9AE}" pid="8" name="MSIP_Label_ae7542bc-63e5-412b-b0a0-d9586028a7d0_ContentBits">
    <vt:lpwstr>0</vt:lpwstr>
  </property>
  <property fmtid="{D5CDD505-2E9C-101B-9397-08002B2CF9AE}" pid="9" name="MSIP_Label_ae7542bc-63e5-412b-b0a0-d9586028a7d0_Tag">
    <vt:lpwstr>50, 3, 0, 1</vt:lpwstr>
  </property>
</Properties>
</file>