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BE42DE" w14:textId="704A2C3E" w:rsidR="00705B6A" w:rsidRPr="0095429F" w:rsidRDefault="00705B6A" w:rsidP="00705B6A">
      <w:pPr>
        <w:spacing w:after="140" w:line="276" w:lineRule="auto"/>
        <w:jc w:val="center"/>
        <w:rPr>
          <w:rFonts w:ascii="Times New Roman" w:hAnsi="Times New Roman" w:cs="Times New Roman"/>
          <w:b/>
          <w:bCs/>
          <w:color w:val="000000" w:themeColor="text1"/>
          <w:sz w:val="32"/>
          <w:szCs w:val="32"/>
        </w:rPr>
      </w:pPr>
      <w:r w:rsidRPr="0095429F">
        <w:rPr>
          <w:rFonts w:ascii="Times New Roman" w:hAnsi="Times New Roman" w:cs="Times New Roman"/>
          <w:b/>
          <w:bCs/>
          <w:color w:val="000000" w:themeColor="text1"/>
          <w:sz w:val="32"/>
          <w:szCs w:val="32"/>
        </w:rPr>
        <w:t>CALL FOR CHAPTER PROPOSAL</w:t>
      </w:r>
    </w:p>
    <w:p w14:paraId="1FBD09A9" w14:textId="6788817B" w:rsidR="005021A0" w:rsidRPr="0095429F" w:rsidRDefault="00705B6A" w:rsidP="00955978">
      <w:pPr>
        <w:spacing w:after="140" w:line="276" w:lineRule="auto"/>
        <w:rPr>
          <w:rFonts w:ascii="Times New Roman" w:hAnsi="Times New Roman" w:cs="Times New Roman"/>
          <w:b/>
          <w:bCs/>
          <w:color w:val="000000" w:themeColor="text1"/>
          <w:sz w:val="28"/>
          <w:szCs w:val="28"/>
        </w:rPr>
      </w:pPr>
      <w:r w:rsidRPr="0095429F">
        <w:rPr>
          <w:rFonts w:ascii="Times New Roman" w:hAnsi="Times New Roman" w:cs="Times New Roman"/>
          <w:b/>
          <w:bCs/>
          <w:color w:val="000000" w:themeColor="text1"/>
          <w:sz w:val="28"/>
          <w:szCs w:val="28"/>
        </w:rPr>
        <w:t>The Ghost in the Machine Learns to Speak for the Dead</w:t>
      </w:r>
      <w:r w:rsidR="00955978" w:rsidRPr="0095429F">
        <w:rPr>
          <w:rFonts w:ascii="Times New Roman" w:hAnsi="Times New Roman" w:cs="Times New Roman"/>
          <w:b/>
          <w:bCs/>
          <w:color w:val="000000" w:themeColor="text1"/>
          <w:sz w:val="28"/>
          <w:szCs w:val="28"/>
        </w:rPr>
        <w:t>:</w:t>
      </w:r>
      <w:r w:rsidR="005021A0" w:rsidRPr="0095429F">
        <w:rPr>
          <w:rFonts w:ascii="Times New Roman" w:hAnsi="Times New Roman" w:cs="Times New Roman"/>
          <w:b/>
          <w:bCs/>
          <w:color w:val="000000" w:themeColor="text1"/>
          <w:sz w:val="28"/>
          <w:szCs w:val="28"/>
        </w:rPr>
        <w:t xml:space="preserve"> </w:t>
      </w:r>
    </w:p>
    <w:p w14:paraId="0EC04E0C" w14:textId="6AB43E0B" w:rsidR="00705B6A" w:rsidRPr="0095429F" w:rsidRDefault="00705B6A" w:rsidP="00955978">
      <w:pPr>
        <w:spacing w:after="140" w:line="276" w:lineRule="auto"/>
        <w:rPr>
          <w:rFonts w:ascii="Times New Roman" w:hAnsi="Times New Roman" w:cs="Times New Roman"/>
          <w:b/>
          <w:bCs/>
          <w:color w:val="000000" w:themeColor="text1"/>
          <w:sz w:val="24"/>
          <w:szCs w:val="24"/>
        </w:rPr>
      </w:pPr>
      <w:r w:rsidRPr="0095429F">
        <w:rPr>
          <w:rFonts w:ascii="Times New Roman" w:hAnsi="Times New Roman" w:cs="Times New Roman"/>
          <w:b/>
          <w:bCs/>
          <w:color w:val="000000" w:themeColor="text1"/>
          <w:sz w:val="24"/>
          <w:szCs w:val="24"/>
        </w:rPr>
        <w:t xml:space="preserve">AI, Rhetorical Resurrection, the the Injustice of Synthetic Voice </w:t>
      </w:r>
    </w:p>
    <w:p w14:paraId="79732616" w14:textId="08630621" w:rsidR="00705B6A" w:rsidRPr="0095429F" w:rsidRDefault="00705B6A" w:rsidP="00955978">
      <w:pPr>
        <w:spacing w:after="140" w:line="276" w:lineRule="auto"/>
        <w:rPr>
          <w:rFonts w:ascii="Times New Roman" w:hAnsi="Times New Roman" w:cs="Times New Roman"/>
          <w:b/>
          <w:bCs/>
          <w:color w:val="000000" w:themeColor="text1"/>
          <w:sz w:val="24"/>
          <w:szCs w:val="24"/>
        </w:rPr>
      </w:pPr>
      <w:r w:rsidRPr="0095429F">
        <w:rPr>
          <w:rFonts w:ascii="Times New Roman" w:hAnsi="Times New Roman" w:cs="Times New Roman"/>
          <w:b/>
          <w:bCs/>
          <w:color w:val="000000" w:themeColor="text1"/>
          <w:sz w:val="24"/>
          <w:szCs w:val="24"/>
        </w:rPr>
        <w:t>An edited Collection, edited by Shiva Hari Mainaly, PhD, University of Memphis</w:t>
      </w:r>
    </w:p>
    <w:p w14:paraId="77146525" w14:textId="1C1803A9" w:rsidR="00705B6A" w:rsidRPr="0095429F" w:rsidRDefault="00705B6A">
      <w:pPr>
        <w:spacing w:after="140" w:line="276" w:lineRule="auto"/>
        <w:jc w:val="both"/>
        <w:rPr>
          <w:rFonts w:ascii="Times New Roman" w:hAnsi="Times New Roman" w:cs="Times New Roman"/>
          <w:b/>
          <w:bCs/>
          <w:color w:val="000000" w:themeColor="text1"/>
          <w:sz w:val="36"/>
          <w:szCs w:val="36"/>
        </w:rPr>
      </w:pPr>
      <w:r w:rsidRPr="0095429F">
        <w:rPr>
          <w:rFonts w:ascii="Times New Roman" w:hAnsi="Times New Roman" w:cs="Times New Roman"/>
          <w:b/>
          <w:bCs/>
          <w:color w:val="000000" w:themeColor="text1"/>
          <w:sz w:val="36"/>
          <w:szCs w:val="36"/>
        </w:rPr>
        <w:t>Abstracts due December 15, 2026</w:t>
      </w:r>
    </w:p>
    <w:p w14:paraId="5F3EB1FE" w14:textId="647929FC" w:rsidR="00705B6A" w:rsidRPr="0095429F" w:rsidRDefault="00705B6A">
      <w:pPr>
        <w:spacing w:after="140" w:line="276" w:lineRule="auto"/>
        <w:jc w:val="both"/>
        <w:rPr>
          <w:rFonts w:ascii="Cormorant Garamond" w:hAnsi="Cormorant Garamond" w:cs="Cormorant Garamond"/>
          <w:b/>
          <w:bCs/>
          <w:color w:val="000000" w:themeColor="text1"/>
          <w:sz w:val="28"/>
          <w:szCs w:val="28"/>
        </w:rPr>
      </w:pPr>
      <w:r w:rsidRPr="0095429F">
        <w:rPr>
          <w:rFonts w:ascii="Cormorant Garamond" w:hAnsi="Cormorant Garamond" w:cs="Cormorant Garamond"/>
          <w:b/>
          <w:bCs/>
          <w:color w:val="000000" w:themeColor="text1"/>
          <w:sz w:val="28"/>
          <w:szCs w:val="28"/>
        </w:rPr>
        <w:t>The Dead are Speaking. Who Gave Them Their Words?</w:t>
      </w:r>
    </w:p>
    <w:p w14:paraId="5CA034E5" w14:textId="712CD044" w:rsidR="001454AF" w:rsidRPr="0095429F" w:rsidRDefault="00000000">
      <w:pPr>
        <w:spacing w:after="140" w:line="276" w:lineRule="auto"/>
        <w:jc w:val="both"/>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In May 2025, a man killed in a road-rage shooting appeared to address his killer at a sentencing hearing in an Arizona courtroom. His face, his voice, and his words of forgiveness were all generated by AI, scripted by his family, and accepted by the judge. The moment was moving to some and deeply unsettling to others. It was also a sign of things to come. Generative AI can now produce convincing speech in the voices of the dead, from grief chatbots that let mourners “talk” with a lost parent to reconstructed testimonies of historical victims and posthumous “final statements” circulated online. A growing digital afterlife industry has turned the voices of the dead into products (Hollanek &amp; Nowaczyk-Basińska, 2024; Öhman &amp; Floridi, 2017), while deepfakes threaten the very idea of testimony as evidence (Chesney &amp; Citron, 2019).</w:t>
      </w:r>
    </w:p>
    <w:p w14:paraId="091A151A" w14:textId="4C7C1ACC" w:rsidR="001454AF" w:rsidRPr="0095429F" w:rsidRDefault="00000000">
      <w:pPr>
        <w:spacing w:after="140" w:line="276" w:lineRule="auto"/>
        <w:jc w:val="both"/>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This collection argues that AI resurrection is not a neutral technical feat. It is a rhetorical act, with speakers, audiences, purposes, and consequences. Rhetoric has long named this move: prosopopoeia, the figure that gives voice to the absent and the dead. What is new is its scale, its realism, and the authority it borrows. Building on the concept of phantom ethos, the fabricated credibility that AI lends to synthetic speech, we ask what happens when a machine speaks as someone who can no longer consent, correct, or refuse.</w:t>
      </w:r>
    </w:p>
    <w:p w14:paraId="48A84D1A" w14:textId="28E2977D" w:rsidR="001454AF" w:rsidRPr="0095429F" w:rsidRDefault="00000000">
      <w:pPr>
        <w:spacing w:after="140" w:line="276" w:lineRule="auto"/>
        <w:jc w:val="both"/>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 xml:space="preserve">These questions are not evenly distributed. Those most likely to be reanimated are often those already dispossessed of voice by histories of violence, colonialism, and erasure. Scholars have long warned about the ethics of speaking for others (Alcoff, 1991) and asked whether the subaltern can speak at all (Spivak, 1988). </w:t>
      </w:r>
      <w:r w:rsidR="00955978" w:rsidRPr="0095429F">
        <w:rPr>
          <w:rFonts w:ascii="Times New Roman" w:hAnsi="Times New Roman" w:cs="Times New Roman"/>
          <w:color w:val="000000" w:themeColor="text1"/>
          <w:sz w:val="24"/>
          <w:szCs w:val="24"/>
        </w:rPr>
        <w:t xml:space="preserve">In particular, </w:t>
      </w:r>
      <w:r w:rsidRPr="0095429F">
        <w:rPr>
          <w:rFonts w:ascii="Times New Roman" w:hAnsi="Times New Roman" w:cs="Times New Roman"/>
          <w:color w:val="000000" w:themeColor="text1"/>
          <w:sz w:val="24"/>
          <w:szCs w:val="24"/>
        </w:rPr>
        <w:t>Saidiya Hartman (2008) has shown both the necessity and the danger of imagining lives the archive silenced. Today, such imagining can be automated, sold, and stripped of its care. When synthetic voice fills the silences of the archive, it risks a new form of epistemic injustice (Fricker, 2007): the dead are made to testify, but not on their own terms.</w:t>
      </w:r>
      <w:r w:rsidR="00955978" w:rsidRPr="0095429F">
        <w:rPr>
          <w:rFonts w:ascii="Times New Roman" w:hAnsi="Times New Roman" w:cs="Times New Roman"/>
          <w:color w:val="000000" w:themeColor="text1"/>
          <w:sz w:val="24"/>
          <w:szCs w:val="24"/>
        </w:rPr>
        <w:t xml:space="preserve"> Since</w:t>
      </w:r>
      <w:r w:rsidRPr="0095429F">
        <w:rPr>
          <w:rFonts w:ascii="Times New Roman" w:hAnsi="Times New Roman" w:cs="Times New Roman"/>
          <w:color w:val="000000" w:themeColor="text1"/>
          <w:sz w:val="24"/>
          <w:szCs w:val="24"/>
        </w:rPr>
        <w:t xml:space="preserve"> technologies encode the inequalities of their makers (Benjamin, 2019; Noble, 2018), we must ask whose voices are resurrected, whose are distorted, and whose are simply ignored.</w:t>
      </w:r>
    </w:p>
    <w:p w14:paraId="7BA2C34C" w14:textId="77777777" w:rsidR="001454AF" w:rsidRPr="0095429F" w:rsidRDefault="00000000">
      <w:pPr>
        <w:spacing w:after="140" w:line="276" w:lineRule="auto"/>
        <w:jc w:val="both"/>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We invite chapters that offer a distinctly rhetorical intervention into a conversation now dominated by legal and computer science perspectives. We welcome theoretical, historical, critical, empirical, and pedagogical work, and we especially encourage contributions from scholars in the Global South, from Indigenous and minoritized communities, and from early-career researchers and graduate students.</w:t>
      </w:r>
    </w:p>
    <w:p w14:paraId="0B72DD03" w14:textId="07A7A4F0" w:rsidR="00705B6A" w:rsidRPr="0095429F" w:rsidRDefault="00705B6A">
      <w:pPr>
        <w:spacing w:after="140" w:line="276" w:lineRule="auto"/>
        <w:jc w:val="both"/>
        <w:rPr>
          <w:rFonts w:ascii="Times New Roman" w:hAnsi="Times New Roman" w:cs="Times New Roman"/>
          <w:b/>
          <w:bCs/>
          <w:color w:val="000000" w:themeColor="text1"/>
          <w:sz w:val="24"/>
          <w:szCs w:val="24"/>
        </w:rPr>
      </w:pPr>
      <w:r w:rsidRPr="0095429F">
        <w:rPr>
          <w:rFonts w:ascii="Times New Roman" w:hAnsi="Times New Roman" w:cs="Times New Roman"/>
          <w:b/>
          <w:bCs/>
          <w:color w:val="000000" w:themeColor="text1"/>
          <w:sz w:val="24"/>
          <w:szCs w:val="24"/>
        </w:rPr>
        <w:t>Guiding Questions</w:t>
      </w:r>
    </w:p>
    <w:p w14:paraId="488AF131" w14:textId="77777777" w:rsidR="001454AF" w:rsidRPr="0095429F" w:rsidRDefault="00000000" w:rsidP="00705B6A">
      <w:pPr>
        <w:pStyle w:val="ListParagraph"/>
        <w:numPr>
          <w:ilvl w:val="0"/>
          <w:numId w:val="3"/>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Who holds the authority to speak for the dead, and how is that authority built, borrowed, or faked?</w:t>
      </w:r>
    </w:p>
    <w:p w14:paraId="1553CAB5" w14:textId="77777777" w:rsidR="001454AF" w:rsidRPr="0095429F" w:rsidRDefault="00000000" w:rsidP="00705B6A">
      <w:pPr>
        <w:pStyle w:val="ListParagraph"/>
        <w:numPr>
          <w:ilvl w:val="0"/>
          <w:numId w:val="3"/>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lastRenderedPageBreak/>
        <w:t>What does consent mean for people who cannot give it? Who should decide: families, estates, communities, platforms, or states?</w:t>
      </w:r>
    </w:p>
    <w:p w14:paraId="4A94366E" w14:textId="77777777" w:rsidR="001454AF" w:rsidRPr="0095429F" w:rsidRDefault="00000000" w:rsidP="00705B6A">
      <w:pPr>
        <w:pStyle w:val="ListParagraph"/>
        <w:numPr>
          <w:ilvl w:val="0"/>
          <w:numId w:val="3"/>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How are courts, newsrooms, museums, and platforms using synthetic voice, and what counts as truth or testimony there?</w:t>
      </w:r>
    </w:p>
    <w:p w14:paraId="32F8E80A" w14:textId="77777777" w:rsidR="001454AF" w:rsidRPr="0095429F" w:rsidRDefault="00000000" w:rsidP="00705B6A">
      <w:pPr>
        <w:pStyle w:val="ListParagraph"/>
        <w:numPr>
          <w:ilvl w:val="0"/>
          <w:numId w:val="3"/>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Whose voices are resurrected, and whose histories of violence make them especially vulnerable to reanimation?</w:t>
      </w:r>
    </w:p>
    <w:p w14:paraId="11EA8574" w14:textId="77777777" w:rsidR="001454AF" w:rsidRPr="0095429F" w:rsidRDefault="00000000" w:rsidP="00705B6A">
      <w:pPr>
        <w:pStyle w:val="ListParagraph"/>
        <w:numPr>
          <w:ilvl w:val="0"/>
          <w:numId w:val="3"/>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Can synthetic voice ever serve justice, memory, or repair? What would an ethical practice look like?</w:t>
      </w:r>
    </w:p>
    <w:p w14:paraId="6D0E60FF" w14:textId="77777777" w:rsidR="001454AF" w:rsidRPr="0095429F" w:rsidRDefault="00000000" w:rsidP="00705B6A">
      <w:pPr>
        <w:pStyle w:val="ListParagraph"/>
        <w:numPr>
          <w:ilvl w:val="0"/>
          <w:numId w:val="3"/>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How should we teach students to read, question, and resist synthetic testimony?</w:t>
      </w:r>
    </w:p>
    <w:p w14:paraId="010D8CD1" w14:textId="77777777" w:rsidR="00705B6A" w:rsidRPr="0095429F" w:rsidRDefault="00705B6A" w:rsidP="00705B6A">
      <w:pPr>
        <w:pStyle w:val="ListParagraph"/>
        <w:spacing w:after="70" w:line="264" w:lineRule="auto"/>
        <w:ind w:left="960"/>
        <w:rPr>
          <w:rFonts w:ascii="Times New Roman" w:hAnsi="Times New Roman" w:cs="Times New Roman"/>
          <w:color w:val="000000" w:themeColor="text1"/>
          <w:sz w:val="24"/>
          <w:szCs w:val="24"/>
        </w:rPr>
      </w:pPr>
    </w:p>
    <w:p w14:paraId="4BABB485" w14:textId="6253C3FF" w:rsidR="00705B6A" w:rsidRPr="0095429F" w:rsidRDefault="00705B6A" w:rsidP="00705B6A">
      <w:pPr>
        <w:spacing w:after="70" w:line="264" w:lineRule="auto"/>
        <w:rPr>
          <w:rFonts w:ascii="Times New Roman" w:hAnsi="Times New Roman" w:cs="Times New Roman"/>
          <w:b/>
          <w:bCs/>
          <w:color w:val="000000" w:themeColor="text1"/>
          <w:sz w:val="24"/>
          <w:szCs w:val="24"/>
        </w:rPr>
      </w:pPr>
      <w:r w:rsidRPr="0095429F">
        <w:rPr>
          <w:rFonts w:ascii="Times New Roman" w:hAnsi="Times New Roman" w:cs="Times New Roman"/>
          <w:b/>
          <w:bCs/>
          <w:color w:val="000000" w:themeColor="text1"/>
          <w:sz w:val="24"/>
          <w:szCs w:val="24"/>
        </w:rPr>
        <w:t>Possible Topics</w:t>
      </w:r>
    </w:p>
    <w:p w14:paraId="6F26BF33" w14:textId="77777777" w:rsidR="001454AF" w:rsidRPr="0095429F" w:rsidRDefault="00000000">
      <w:pPr>
        <w:spacing w:after="140" w:line="276"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We are organizing the collection around five clusters. Proposals may address one or several; topics beyond this list are warmly welcome.</w:t>
      </w:r>
    </w:p>
    <w:p w14:paraId="6A5B7F1D" w14:textId="68D3D266" w:rsidR="00705B6A" w:rsidRPr="0095429F" w:rsidRDefault="00705B6A">
      <w:pPr>
        <w:spacing w:after="140" w:line="276" w:lineRule="auto"/>
        <w:rPr>
          <w:rFonts w:ascii="Times New Roman" w:hAnsi="Times New Roman" w:cs="Times New Roman"/>
          <w:b/>
          <w:bCs/>
          <w:color w:val="000000" w:themeColor="text1"/>
          <w:sz w:val="24"/>
          <w:szCs w:val="24"/>
        </w:rPr>
      </w:pPr>
      <w:r w:rsidRPr="0095429F">
        <w:rPr>
          <w:rFonts w:ascii="Times New Roman" w:hAnsi="Times New Roman" w:cs="Times New Roman"/>
          <w:b/>
          <w:bCs/>
          <w:color w:val="000000" w:themeColor="text1"/>
          <w:sz w:val="24"/>
          <w:szCs w:val="24"/>
        </w:rPr>
        <w:t>Part I. Theorizing Resurrected Voice</w:t>
      </w:r>
    </w:p>
    <w:p w14:paraId="6446F8E7" w14:textId="77777777" w:rsidR="001454AF" w:rsidRPr="0095429F" w:rsidRDefault="00000000" w:rsidP="00705B6A">
      <w:pPr>
        <w:pStyle w:val="ListParagraph"/>
        <w:numPr>
          <w:ilvl w:val="0"/>
          <w:numId w:val="13"/>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Phantom ethos, synthetic credibility, and ethos without a body</w:t>
      </w:r>
    </w:p>
    <w:p w14:paraId="11C7B380" w14:textId="77777777" w:rsidR="001454AF" w:rsidRPr="0095429F" w:rsidRDefault="00000000" w:rsidP="00705B6A">
      <w:pPr>
        <w:pStyle w:val="ListParagraph"/>
        <w:numPr>
          <w:ilvl w:val="0"/>
          <w:numId w:val="13"/>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Prosopopoeia, apostrophe, and classical figures of speaking for the absent</w:t>
      </w:r>
    </w:p>
    <w:p w14:paraId="353DF976" w14:textId="77777777" w:rsidR="001454AF" w:rsidRPr="0095429F" w:rsidRDefault="00000000" w:rsidP="00705B6A">
      <w:pPr>
        <w:pStyle w:val="ListParagraph"/>
        <w:numPr>
          <w:ilvl w:val="0"/>
          <w:numId w:val="13"/>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Hauntology, spectrality, and the rhetoric of the digital ghost (Derrida, 1994)</w:t>
      </w:r>
    </w:p>
    <w:p w14:paraId="2597F40B" w14:textId="77777777" w:rsidR="001454AF" w:rsidRPr="0095429F" w:rsidRDefault="00000000" w:rsidP="00705B6A">
      <w:pPr>
        <w:pStyle w:val="ListParagraph"/>
        <w:numPr>
          <w:ilvl w:val="0"/>
          <w:numId w:val="13"/>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Voice, timbre, race, and the politics of listening to machines (Eidsheim, 2019)</w:t>
      </w:r>
    </w:p>
    <w:p w14:paraId="517A0B1C" w14:textId="548C9481" w:rsidR="001454AF" w:rsidRPr="0095429F" w:rsidRDefault="00000000">
      <w:pPr>
        <w:spacing w:before="160" w:after="80"/>
        <w:rPr>
          <w:rFonts w:ascii="Times New Roman" w:hAnsi="Times New Roman" w:cs="Times New Roman"/>
          <w:color w:val="000000" w:themeColor="text1"/>
          <w:sz w:val="24"/>
          <w:szCs w:val="24"/>
        </w:rPr>
      </w:pPr>
      <w:r w:rsidRPr="0095429F">
        <w:rPr>
          <w:rFonts w:ascii="Times New Roman" w:eastAsia="Georgia" w:hAnsi="Times New Roman" w:cs="Times New Roman"/>
          <w:b/>
          <w:bCs/>
          <w:color w:val="000000" w:themeColor="text1"/>
          <w:sz w:val="24"/>
          <w:szCs w:val="24"/>
        </w:rPr>
        <w:t>Part II. Synthetic Testimony in Courts, Newsrooms, and Platforms</w:t>
      </w:r>
    </w:p>
    <w:p w14:paraId="52090517" w14:textId="77777777" w:rsidR="001454AF" w:rsidRPr="0095429F" w:rsidRDefault="00000000" w:rsidP="00705B6A">
      <w:pPr>
        <w:pStyle w:val="ListParagraph"/>
        <w:numPr>
          <w:ilvl w:val="0"/>
          <w:numId w:val="12"/>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AI-generated victim impact statements and deepfaked evidence</w:t>
      </w:r>
    </w:p>
    <w:p w14:paraId="3F152DFB" w14:textId="77777777" w:rsidR="001454AF" w:rsidRPr="0095429F" w:rsidRDefault="00000000" w:rsidP="00705B6A">
      <w:pPr>
        <w:pStyle w:val="ListParagraph"/>
        <w:numPr>
          <w:ilvl w:val="0"/>
          <w:numId w:val="12"/>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Journalists “interviewing” AI recreations of the dead</w:t>
      </w:r>
    </w:p>
    <w:p w14:paraId="2A91BBDE" w14:textId="77777777" w:rsidR="001454AF" w:rsidRPr="0095429F" w:rsidRDefault="00000000" w:rsidP="00705B6A">
      <w:pPr>
        <w:pStyle w:val="ListParagraph"/>
        <w:numPr>
          <w:ilvl w:val="0"/>
          <w:numId w:val="12"/>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Documentaries, advertising, and cloned voices of deceased public figures</w:t>
      </w:r>
    </w:p>
    <w:p w14:paraId="33E10AA4" w14:textId="77777777" w:rsidR="001454AF" w:rsidRPr="0095429F" w:rsidRDefault="00000000" w:rsidP="00705B6A">
      <w:pPr>
        <w:pStyle w:val="ListParagraph"/>
        <w:numPr>
          <w:ilvl w:val="0"/>
          <w:numId w:val="12"/>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Platform policies, labeling, and the governance of posthumous speech</w:t>
      </w:r>
    </w:p>
    <w:p w14:paraId="5B620AFF" w14:textId="77777777" w:rsidR="001454AF" w:rsidRPr="0095429F" w:rsidRDefault="00000000">
      <w:pPr>
        <w:spacing w:before="160" w:after="80"/>
        <w:rPr>
          <w:rFonts w:ascii="Times New Roman" w:hAnsi="Times New Roman" w:cs="Times New Roman"/>
          <w:color w:val="000000" w:themeColor="text1"/>
          <w:sz w:val="24"/>
          <w:szCs w:val="24"/>
        </w:rPr>
      </w:pPr>
      <w:r w:rsidRPr="0095429F">
        <w:rPr>
          <w:rFonts w:ascii="Times New Roman" w:eastAsia="Georgia" w:hAnsi="Times New Roman" w:cs="Times New Roman"/>
          <w:b/>
          <w:bCs/>
          <w:color w:val="000000" w:themeColor="text1"/>
          <w:sz w:val="24"/>
          <w:szCs w:val="24"/>
        </w:rPr>
        <w:t>Part III. Grief, Memory, and the Digital Afterlife Industry</w:t>
      </w:r>
    </w:p>
    <w:p w14:paraId="5B4CB52C" w14:textId="77777777" w:rsidR="001454AF" w:rsidRPr="0095429F" w:rsidRDefault="00000000" w:rsidP="00705B6A">
      <w:pPr>
        <w:pStyle w:val="ListParagraph"/>
        <w:numPr>
          <w:ilvl w:val="0"/>
          <w:numId w:val="14"/>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Griefbots, deadbots, and the commercialization of mourning</w:t>
      </w:r>
    </w:p>
    <w:p w14:paraId="28CF3F57" w14:textId="77777777" w:rsidR="001454AF" w:rsidRPr="0095429F" w:rsidRDefault="00000000" w:rsidP="00705B6A">
      <w:pPr>
        <w:pStyle w:val="ListParagraph"/>
        <w:numPr>
          <w:ilvl w:val="0"/>
          <w:numId w:val="14"/>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Consent, estates, and data rights after death</w:t>
      </w:r>
    </w:p>
    <w:p w14:paraId="31BDA4BA" w14:textId="77777777" w:rsidR="001454AF" w:rsidRPr="0095429F" w:rsidRDefault="00000000" w:rsidP="00705B6A">
      <w:pPr>
        <w:pStyle w:val="ListParagraph"/>
        <w:numPr>
          <w:ilvl w:val="0"/>
          <w:numId w:val="14"/>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Religious, cultural, and non-Western rituals of speaking with ancestors</w:t>
      </w:r>
    </w:p>
    <w:p w14:paraId="53654F48" w14:textId="77777777" w:rsidR="001454AF" w:rsidRPr="0095429F" w:rsidRDefault="00000000" w:rsidP="00705B6A">
      <w:pPr>
        <w:pStyle w:val="ListParagraph"/>
        <w:numPr>
          <w:ilvl w:val="0"/>
          <w:numId w:val="14"/>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Museums, memorials, and interactive testimony projects</w:t>
      </w:r>
    </w:p>
    <w:p w14:paraId="709F6395" w14:textId="77777777" w:rsidR="001454AF" w:rsidRPr="0095429F" w:rsidRDefault="00000000">
      <w:pPr>
        <w:spacing w:before="160" w:after="80"/>
        <w:rPr>
          <w:rFonts w:ascii="Times New Roman" w:hAnsi="Times New Roman" w:cs="Times New Roman"/>
          <w:color w:val="000000" w:themeColor="text1"/>
          <w:sz w:val="24"/>
          <w:szCs w:val="24"/>
        </w:rPr>
      </w:pPr>
      <w:r w:rsidRPr="0095429F">
        <w:rPr>
          <w:rFonts w:ascii="Times New Roman" w:eastAsia="Georgia" w:hAnsi="Times New Roman" w:cs="Times New Roman"/>
          <w:b/>
          <w:bCs/>
          <w:color w:val="000000" w:themeColor="text1"/>
          <w:sz w:val="24"/>
          <w:szCs w:val="24"/>
        </w:rPr>
        <w:t>Part IV. Voice, Violence, and Erasure: Who Gets Reanimated?</w:t>
      </w:r>
    </w:p>
    <w:p w14:paraId="2DBC3095" w14:textId="77777777" w:rsidR="001454AF" w:rsidRPr="0095429F" w:rsidRDefault="00000000" w:rsidP="00B85F48">
      <w:pPr>
        <w:pStyle w:val="ListParagraph"/>
        <w:numPr>
          <w:ilvl w:val="0"/>
          <w:numId w:val="15"/>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Resurrecting victims of colonial, racial, and state violence</w:t>
      </w:r>
    </w:p>
    <w:p w14:paraId="27A09BB9" w14:textId="77777777" w:rsidR="001454AF" w:rsidRPr="0095429F" w:rsidRDefault="00000000" w:rsidP="00B85F48">
      <w:pPr>
        <w:pStyle w:val="ListParagraph"/>
        <w:numPr>
          <w:ilvl w:val="0"/>
          <w:numId w:val="15"/>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Critical fabulation versus algorithmic fabrication in the archive</w:t>
      </w:r>
    </w:p>
    <w:p w14:paraId="5782C8A5" w14:textId="77777777" w:rsidR="001454AF" w:rsidRPr="0095429F" w:rsidRDefault="00000000" w:rsidP="00B85F48">
      <w:pPr>
        <w:pStyle w:val="ListParagraph"/>
        <w:numPr>
          <w:ilvl w:val="0"/>
          <w:numId w:val="15"/>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Indigenous voices, sovereignty, and data governance</w:t>
      </w:r>
    </w:p>
    <w:p w14:paraId="4F5843DF" w14:textId="77777777" w:rsidR="001454AF" w:rsidRPr="0095429F" w:rsidRDefault="00000000" w:rsidP="00B85F48">
      <w:pPr>
        <w:pStyle w:val="ListParagraph"/>
        <w:numPr>
          <w:ilvl w:val="0"/>
          <w:numId w:val="15"/>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Endangered languages, Global South speakers, and linguistic justice</w:t>
      </w:r>
    </w:p>
    <w:p w14:paraId="0830AB5D" w14:textId="77777777" w:rsidR="001454AF" w:rsidRPr="0095429F" w:rsidRDefault="00000000" w:rsidP="00B85F48">
      <w:pPr>
        <w:pStyle w:val="ListParagraph"/>
        <w:numPr>
          <w:ilvl w:val="0"/>
          <w:numId w:val="15"/>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Gender, disability, and the reanimation of marginalized bodies and voices</w:t>
      </w:r>
    </w:p>
    <w:p w14:paraId="4E2AD119" w14:textId="77777777" w:rsidR="001454AF" w:rsidRPr="0095429F" w:rsidRDefault="00000000">
      <w:pPr>
        <w:spacing w:before="160" w:after="80"/>
        <w:rPr>
          <w:rFonts w:ascii="Times New Roman" w:hAnsi="Times New Roman" w:cs="Times New Roman"/>
          <w:color w:val="000000" w:themeColor="text1"/>
          <w:sz w:val="24"/>
          <w:szCs w:val="24"/>
        </w:rPr>
      </w:pPr>
      <w:r w:rsidRPr="0095429F">
        <w:rPr>
          <w:rFonts w:ascii="Times New Roman" w:eastAsia="Georgia" w:hAnsi="Times New Roman" w:cs="Times New Roman"/>
          <w:b/>
          <w:bCs/>
          <w:color w:val="000000" w:themeColor="text1"/>
          <w:sz w:val="24"/>
          <w:szCs w:val="24"/>
        </w:rPr>
        <w:t>Part V. Pedagogy, Policy, and Resistance</w:t>
      </w:r>
    </w:p>
    <w:p w14:paraId="5BA47C67" w14:textId="77777777" w:rsidR="001454AF" w:rsidRPr="0095429F" w:rsidRDefault="00000000" w:rsidP="00B85F48">
      <w:pPr>
        <w:pStyle w:val="ListParagraph"/>
        <w:numPr>
          <w:ilvl w:val="0"/>
          <w:numId w:val="16"/>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Teaching students to analyze synthetic media and testimony</w:t>
      </w:r>
    </w:p>
    <w:p w14:paraId="504570D4" w14:textId="77777777" w:rsidR="001454AF" w:rsidRPr="0095429F" w:rsidRDefault="00000000" w:rsidP="00B85F48">
      <w:pPr>
        <w:pStyle w:val="ListParagraph"/>
        <w:numPr>
          <w:ilvl w:val="0"/>
          <w:numId w:val="16"/>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lastRenderedPageBreak/>
        <w:t>Technical and professional communication guidelines for synthetic voice</w:t>
      </w:r>
    </w:p>
    <w:p w14:paraId="1306670F" w14:textId="77777777" w:rsidR="001454AF" w:rsidRPr="0095429F" w:rsidRDefault="00000000" w:rsidP="00B85F48">
      <w:pPr>
        <w:pStyle w:val="ListParagraph"/>
        <w:numPr>
          <w:ilvl w:val="0"/>
          <w:numId w:val="16"/>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Right of publicity, likeness laws, and AI policy</w:t>
      </w:r>
    </w:p>
    <w:p w14:paraId="77AC6F75" w14:textId="77777777" w:rsidR="001454AF" w:rsidRPr="0095429F" w:rsidRDefault="00000000" w:rsidP="00B85F48">
      <w:pPr>
        <w:pStyle w:val="ListParagraph"/>
        <w:numPr>
          <w:ilvl w:val="0"/>
          <w:numId w:val="16"/>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Community-led refusal, counter-archives, and design justice approaches</w:t>
      </w:r>
    </w:p>
    <w:p w14:paraId="0C45B7D5" w14:textId="5DD380B2" w:rsidR="00B85F48" w:rsidRPr="0095429F" w:rsidRDefault="00B85F48" w:rsidP="00B85F48">
      <w:pPr>
        <w:spacing w:after="70" w:line="264" w:lineRule="auto"/>
        <w:rPr>
          <w:rFonts w:ascii="Times New Roman" w:hAnsi="Times New Roman" w:cs="Times New Roman"/>
          <w:b/>
          <w:bCs/>
          <w:color w:val="000000" w:themeColor="text1"/>
          <w:sz w:val="24"/>
          <w:szCs w:val="24"/>
        </w:rPr>
      </w:pPr>
      <w:r w:rsidRPr="0095429F">
        <w:rPr>
          <w:rFonts w:ascii="Times New Roman" w:hAnsi="Times New Roman" w:cs="Times New Roman"/>
          <w:b/>
          <w:bCs/>
          <w:color w:val="000000" w:themeColor="text1"/>
          <w:sz w:val="24"/>
          <w:szCs w:val="24"/>
        </w:rPr>
        <w:t>Why Contribute?</w:t>
      </w:r>
    </w:p>
    <w:p w14:paraId="0EB20F60" w14:textId="370D175A" w:rsidR="001454AF" w:rsidRPr="0095429F" w:rsidRDefault="00000000" w:rsidP="00B85F48">
      <w:pPr>
        <w:pStyle w:val="ListParagraph"/>
        <w:numPr>
          <w:ilvl w:val="0"/>
          <w:numId w:val="17"/>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b/>
          <w:bCs/>
          <w:color w:val="000000" w:themeColor="text1"/>
          <w:sz w:val="24"/>
          <w:szCs w:val="24"/>
        </w:rPr>
        <w:t xml:space="preserve">Shape a new field. </w:t>
      </w:r>
      <w:r w:rsidRPr="0095429F">
        <w:rPr>
          <w:rFonts w:ascii="Times New Roman" w:hAnsi="Times New Roman" w:cs="Times New Roman"/>
          <w:color w:val="000000" w:themeColor="text1"/>
          <w:sz w:val="24"/>
          <w:szCs w:val="24"/>
        </w:rPr>
        <w:t>The rhetoric of AI resurrection is still largely unwritten. Your chapter can help define its vocabulary.</w:t>
      </w:r>
    </w:p>
    <w:p w14:paraId="600488AD" w14:textId="77777777" w:rsidR="001454AF" w:rsidRPr="0095429F" w:rsidRDefault="00000000" w:rsidP="00B85F48">
      <w:pPr>
        <w:pStyle w:val="ListParagraph"/>
        <w:numPr>
          <w:ilvl w:val="0"/>
          <w:numId w:val="17"/>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b/>
          <w:bCs/>
          <w:color w:val="000000" w:themeColor="text1"/>
          <w:sz w:val="24"/>
          <w:szCs w:val="24"/>
        </w:rPr>
        <w:t xml:space="preserve">Reach across disciplines. </w:t>
      </w:r>
      <w:r w:rsidRPr="0095429F">
        <w:rPr>
          <w:rFonts w:ascii="Times New Roman" w:hAnsi="Times New Roman" w:cs="Times New Roman"/>
          <w:color w:val="000000" w:themeColor="text1"/>
          <w:sz w:val="24"/>
          <w:szCs w:val="24"/>
        </w:rPr>
        <w:t>The collection speaks to rhetoric and composition, media studies, AI ethics, law, memory studies, and technical communication.</w:t>
      </w:r>
    </w:p>
    <w:p w14:paraId="28FC3488" w14:textId="77777777" w:rsidR="001454AF" w:rsidRPr="0095429F" w:rsidRDefault="00000000" w:rsidP="00B85F48">
      <w:pPr>
        <w:pStyle w:val="ListParagraph"/>
        <w:numPr>
          <w:ilvl w:val="0"/>
          <w:numId w:val="17"/>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b/>
          <w:bCs/>
          <w:color w:val="000000" w:themeColor="text1"/>
          <w:sz w:val="24"/>
          <w:szCs w:val="24"/>
        </w:rPr>
        <w:t xml:space="preserve">Join a global conversation. </w:t>
      </w:r>
      <w:r w:rsidRPr="0095429F">
        <w:rPr>
          <w:rFonts w:ascii="Times New Roman" w:hAnsi="Times New Roman" w:cs="Times New Roman"/>
          <w:color w:val="000000" w:themeColor="text1"/>
          <w:sz w:val="24"/>
          <w:szCs w:val="24"/>
        </w:rPr>
        <w:t>We are building a volume that is international, interdisciplinary, and attentive to voices too often left out of AI debates.</w:t>
      </w:r>
    </w:p>
    <w:p w14:paraId="6E781D85" w14:textId="77777777" w:rsidR="001454AF" w:rsidRPr="0095429F" w:rsidRDefault="00000000" w:rsidP="00B85F48">
      <w:pPr>
        <w:pStyle w:val="ListParagraph"/>
        <w:numPr>
          <w:ilvl w:val="0"/>
          <w:numId w:val="17"/>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b/>
          <w:bCs/>
          <w:color w:val="000000" w:themeColor="text1"/>
          <w:sz w:val="24"/>
          <w:szCs w:val="24"/>
        </w:rPr>
        <w:t xml:space="preserve">Receive thoughtful editorial support. </w:t>
      </w:r>
      <w:r w:rsidRPr="0095429F">
        <w:rPr>
          <w:rFonts w:ascii="Times New Roman" w:hAnsi="Times New Roman" w:cs="Times New Roman"/>
          <w:color w:val="000000" w:themeColor="text1"/>
          <w:sz w:val="24"/>
          <w:szCs w:val="24"/>
        </w:rPr>
        <w:t>Every accepted chapter will receive developmental feedback and peer review.</w:t>
      </w:r>
    </w:p>
    <w:p w14:paraId="20F6401D" w14:textId="6D2ECB4D" w:rsidR="00B85F48" w:rsidRPr="0095429F" w:rsidRDefault="00B85F48">
      <w:pPr>
        <w:spacing w:after="140" w:line="276" w:lineRule="auto"/>
        <w:rPr>
          <w:rFonts w:ascii="Times New Roman" w:hAnsi="Times New Roman" w:cs="Times New Roman"/>
          <w:color w:val="000000" w:themeColor="text1"/>
          <w:sz w:val="24"/>
          <w:szCs w:val="24"/>
        </w:rPr>
      </w:pPr>
      <w:r w:rsidRPr="0095429F">
        <w:rPr>
          <w:rFonts w:ascii="Times New Roman" w:eastAsia="Georgia" w:hAnsi="Times New Roman" w:cs="Times New Roman"/>
          <w:b/>
          <w:bCs/>
          <w:color w:val="000000" w:themeColor="text1"/>
          <w:sz w:val="24"/>
          <w:szCs w:val="24"/>
        </w:rPr>
        <w:t>Submission Guidelines</w:t>
      </w:r>
    </w:p>
    <w:p w14:paraId="63E414ED" w14:textId="61840665" w:rsidR="001454AF" w:rsidRPr="0095429F" w:rsidRDefault="00000000">
      <w:pPr>
        <w:spacing w:after="140" w:line="276"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Please send the following in a single Word document or PDF:</w:t>
      </w:r>
    </w:p>
    <w:p w14:paraId="4003BB0A" w14:textId="77777777" w:rsidR="001454AF" w:rsidRPr="0095429F" w:rsidRDefault="00000000" w:rsidP="00B85F48">
      <w:pPr>
        <w:pStyle w:val="ListParagraph"/>
        <w:numPr>
          <w:ilvl w:val="0"/>
          <w:numId w:val="18"/>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A chapter title and an abstract of 300–500 words, not counting references</w:t>
      </w:r>
    </w:p>
    <w:p w14:paraId="6A2B3A88" w14:textId="77777777" w:rsidR="001454AF" w:rsidRPr="0095429F" w:rsidRDefault="00000000" w:rsidP="00B85F48">
      <w:pPr>
        <w:pStyle w:val="ListParagraph"/>
        <w:numPr>
          <w:ilvl w:val="0"/>
          <w:numId w:val="18"/>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Three to five keywords</w:t>
      </w:r>
    </w:p>
    <w:p w14:paraId="177173B0" w14:textId="77777777" w:rsidR="001454AF" w:rsidRPr="0095429F" w:rsidRDefault="00000000" w:rsidP="00B85F48">
      <w:pPr>
        <w:pStyle w:val="ListParagraph"/>
        <w:numPr>
          <w:ilvl w:val="0"/>
          <w:numId w:val="18"/>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A short list of key references (optional)</w:t>
      </w:r>
    </w:p>
    <w:p w14:paraId="766FD936" w14:textId="77777777" w:rsidR="001454AF" w:rsidRPr="0095429F" w:rsidRDefault="00000000" w:rsidP="00B85F48">
      <w:pPr>
        <w:pStyle w:val="ListParagraph"/>
        <w:numPr>
          <w:ilvl w:val="0"/>
          <w:numId w:val="18"/>
        </w:numPr>
        <w:spacing w:after="70" w:line="264"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A biography of up to 100 words for each author, with affiliation and email</w:t>
      </w:r>
    </w:p>
    <w:p w14:paraId="3BECE840" w14:textId="77777777" w:rsidR="001454AF" w:rsidRPr="0095429F" w:rsidRDefault="00000000">
      <w:pPr>
        <w:spacing w:after="140" w:line="276"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 xml:space="preserve">Email submissions to </w:t>
      </w:r>
      <w:r w:rsidRPr="0095429F">
        <w:rPr>
          <w:rFonts w:ascii="Times New Roman" w:hAnsi="Times New Roman" w:cs="Times New Roman"/>
          <w:b/>
          <w:bCs/>
          <w:color w:val="000000" w:themeColor="text1"/>
          <w:sz w:val="24"/>
          <w:szCs w:val="24"/>
        </w:rPr>
        <w:t>shminaly@memphis.edu</w:t>
      </w:r>
      <w:r w:rsidRPr="0095429F">
        <w:rPr>
          <w:rFonts w:ascii="Times New Roman" w:hAnsi="Times New Roman" w:cs="Times New Roman"/>
          <w:color w:val="000000" w:themeColor="text1"/>
          <w:sz w:val="24"/>
          <w:szCs w:val="24"/>
        </w:rPr>
        <w:t xml:space="preserve"> with the subject line </w:t>
      </w:r>
      <w:r w:rsidRPr="0095429F">
        <w:rPr>
          <w:rFonts w:ascii="Times New Roman" w:hAnsi="Times New Roman" w:cs="Times New Roman"/>
          <w:b/>
          <w:bCs/>
          <w:color w:val="000000" w:themeColor="text1"/>
          <w:sz w:val="24"/>
          <w:szCs w:val="24"/>
        </w:rPr>
        <w:t>“CFP: Synthetic Voice Collection – [Your Last Name].”</w:t>
      </w:r>
      <w:r w:rsidRPr="0095429F">
        <w:rPr>
          <w:rFonts w:ascii="Times New Roman" w:hAnsi="Times New Roman" w:cs="Times New Roman"/>
          <w:color w:val="000000" w:themeColor="text1"/>
          <w:sz w:val="24"/>
          <w:szCs w:val="24"/>
        </w:rPr>
        <w:t xml:space="preserve"> Full chapters of 6,000–8,000 words, including references, will follow APA 7th edition style. Co-authored and interdisciplinary chapters are welcome. Please do not submit work that is published or under review elsewhere.</w:t>
      </w:r>
    </w:p>
    <w:p w14:paraId="16AD53A4" w14:textId="77777777" w:rsidR="00B85F48" w:rsidRPr="0095429F" w:rsidRDefault="00B85F48">
      <w:pPr>
        <w:spacing w:after="140" w:line="276" w:lineRule="auto"/>
        <w:rPr>
          <w:rFonts w:ascii="Times New Roman" w:hAnsi="Times New Roman" w:cs="Times New Roman"/>
          <w:color w:val="000000" w:themeColor="text1"/>
          <w:sz w:val="24"/>
          <w:szCs w:val="24"/>
        </w:rPr>
      </w:pPr>
    </w:p>
    <w:tbl>
      <w:tblPr>
        <w:tblStyle w:val="TableGrid"/>
        <w:tblW w:w="0" w:type="auto"/>
        <w:tblLook w:val="04A0" w:firstRow="1" w:lastRow="0" w:firstColumn="1" w:lastColumn="0" w:noHBand="0" w:noVBand="1"/>
      </w:tblPr>
      <w:tblGrid>
        <w:gridCol w:w="4855"/>
        <w:gridCol w:w="4855"/>
      </w:tblGrid>
      <w:tr w:rsidR="00B85F48" w:rsidRPr="0095429F" w14:paraId="0206C92A" w14:textId="77777777" w:rsidTr="00B85F48">
        <w:tc>
          <w:tcPr>
            <w:tcW w:w="4855" w:type="dxa"/>
          </w:tcPr>
          <w:p w14:paraId="32023A59" w14:textId="3AA3A588" w:rsidR="00B85F48" w:rsidRPr="0095429F" w:rsidRDefault="00B85F48">
            <w:pPr>
              <w:spacing w:after="140" w:line="276"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Milestone</w:t>
            </w:r>
          </w:p>
        </w:tc>
        <w:tc>
          <w:tcPr>
            <w:tcW w:w="4855" w:type="dxa"/>
          </w:tcPr>
          <w:p w14:paraId="1A852C72" w14:textId="51CABEFD" w:rsidR="00B85F48" w:rsidRPr="0095429F" w:rsidRDefault="00B85F48">
            <w:pPr>
              <w:spacing w:after="140" w:line="276"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Date</w:t>
            </w:r>
          </w:p>
        </w:tc>
      </w:tr>
      <w:tr w:rsidR="00B85F48" w:rsidRPr="0095429F" w14:paraId="5E0B269D" w14:textId="77777777" w:rsidTr="00B85F48">
        <w:tc>
          <w:tcPr>
            <w:tcW w:w="4855" w:type="dxa"/>
          </w:tcPr>
          <w:p w14:paraId="59600921" w14:textId="5A7AF23E" w:rsidR="00B85F48" w:rsidRPr="0095429F" w:rsidRDefault="00B85F48">
            <w:pPr>
              <w:spacing w:after="140" w:line="276"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Abstract</w:t>
            </w:r>
            <w:r w:rsidR="005021A0" w:rsidRPr="0095429F">
              <w:rPr>
                <w:rFonts w:ascii="Times New Roman" w:hAnsi="Times New Roman" w:cs="Times New Roman"/>
                <w:color w:val="000000" w:themeColor="text1"/>
                <w:sz w:val="24"/>
                <w:szCs w:val="24"/>
              </w:rPr>
              <w:t>s</w:t>
            </w:r>
            <w:r w:rsidRPr="0095429F">
              <w:rPr>
                <w:rFonts w:ascii="Times New Roman" w:hAnsi="Times New Roman" w:cs="Times New Roman"/>
                <w:color w:val="000000" w:themeColor="text1"/>
                <w:sz w:val="24"/>
                <w:szCs w:val="24"/>
              </w:rPr>
              <w:t xml:space="preserve"> due</w:t>
            </w:r>
          </w:p>
        </w:tc>
        <w:tc>
          <w:tcPr>
            <w:tcW w:w="4855" w:type="dxa"/>
          </w:tcPr>
          <w:p w14:paraId="544B0BA9" w14:textId="31717FC4" w:rsidR="00B85F48" w:rsidRPr="0095429F" w:rsidRDefault="00B85F48">
            <w:pPr>
              <w:spacing w:after="140" w:line="276"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December 15, 2026</w:t>
            </w:r>
          </w:p>
        </w:tc>
      </w:tr>
      <w:tr w:rsidR="00B85F48" w:rsidRPr="0095429F" w14:paraId="350C7991" w14:textId="77777777" w:rsidTr="00B85F48">
        <w:tc>
          <w:tcPr>
            <w:tcW w:w="4855" w:type="dxa"/>
          </w:tcPr>
          <w:p w14:paraId="6CD5352A" w14:textId="01947E25" w:rsidR="00B85F48" w:rsidRPr="0095429F" w:rsidRDefault="00B85F48">
            <w:pPr>
              <w:spacing w:after="140" w:line="276"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Notification of acceptance</w:t>
            </w:r>
          </w:p>
        </w:tc>
        <w:tc>
          <w:tcPr>
            <w:tcW w:w="4855" w:type="dxa"/>
          </w:tcPr>
          <w:p w14:paraId="4A658E2F" w14:textId="24CFCD64" w:rsidR="00B85F48" w:rsidRPr="0095429F" w:rsidRDefault="00B85F48">
            <w:pPr>
              <w:spacing w:after="140" w:line="276"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January 31, 2027</w:t>
            </w:r>
          </w:p>
        </w:tc>
      </w:tr>
      <w:tr w:rsidR="00B85F48" w:rsidRPr="0095429F" w14:paraId="2AF2CE86" w14:textId="77777777" w:rsidTr="00B85F48">
        <w:tc>
          <w:tcPr>
            <w:tcW w:w="4855" w:type="dxa"/>
          </w:tcPr>
          <w:p w14:paraId="3AA07702" w14:textId="5FCF5F21" w:rsidR="00B85F48" w:rsidRPr="0095429F" w:rsidRDefault="00B85F48">
            <w:pPr>
              <w:spacing w:after="140" w:line="276"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Full chapters due</w:t>
            </w:r>
          </w:p>
        </w:tc>
        <w:tc>
          <w:tcPr>
            <w:tcW w:w="4855" w:type="dxa"/>
          </w:tcPr>
          <w:p w14:paraId="39025E92" w14:textId="0E5216DD" w:rsidR="00B85F48" w:rsidRPr="0095429F" w:rsidRDefault="00B85F48">
            <w:pPr>
              <w:spacing w:after="140" w:line="276"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June 30, 2027</w:t>
            </w:r>
          </w:p>
        </w:tc>
      </w:tr>
      <w:tr w:rsidR="00B85F48" w:rsidRPr="0095429F" w14:paraId="2A05A652" w14:textId="77777777" w:rsidTr="00B85F48">
        <w:tc>
          <w:tcPr>
            <w:tcW w:w="4855" w:type="dxa"/>
          </w:tcPr>
          <w:p w14:paraId="3FE9A918" w14:textId="5D0B8919" w:rsidR="00B85F48" w:rsidRPr="0095429F" w:rsidRDefault="00B85F48">
            <w:pPr>
              <w:spacing w:after="140" w:line="276"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Peer review and feedback to authors</w:t>
            </w:r>
          </w:p>
        </w:tc>
        <w:tc>
          <w:tcPr>
            <w:tcW w:w="4855" w:type="dxa"/>
          </w:tcPr>
          <w:p w14:paraId="0208E353" w14:textId="59B6D0B9" w:rsidR="00B85F48" w:rsidRPr="0095429F" w:rsidRDefault="00B85F48">
            <w:pPr>
              <w:spacing w:after="140" w:line="276"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September 30, 2027</w:t>
            </w:r>
          </w:p>
        </w:tc>
      </w:tr>
      <w:tr w:rsidR="00B85F48" w:rsidRPr="0095429F" w14:paraId="0DBD60AD" w14:textId="77777777" w:rsidTr="00B85F48">
        <w:tc>
          <w:tcPr>
            <w:tcW w:w="4855" w:type="dxa"/>
          </w:tcPr>
          <w:p w14:paraId="35CA4FFD" w14:textId="7F2F658F" w:rsidR="00B85F48" w:rsidRPr="0095429F" w:rsidRDefault="00B85F48">
            <w:pPr>
              <w:spacing w:after="140" w:line="276"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Revised Chapters due</w:t>
            </w:r>
          </w:p>
        </w:tc>
        <w:tc>
          <w:tcPr>
            <w:tcW w:w="4855" w:type="dxa"/>
          </w:tcPr>
          <w:p w14:paraId="2D6B703B" w14:textId="5C2A29C9" w:rsidR="00B85F48" w:rsidRPr="0095429F" w:rsidRDefault="00B85F48">
            <w:pPr>
              <w:spacing w:after="140" w:line="276"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December 15, 2027</w:t>
            </w:r>
          </w:p>
        </w:tc>
      </w:tr>
      <w:tr w:rsidR="00B85F48" w:rsidRPr="0095429F" w14:paraId="692E5058" w14:textId="77777777" w:rsidTr="00B85F48">
        <w:tc>
          <w:tcPr>
            <w:tcW w:w="4855" w:type="dxa"/>
          </w:tcPr>
          <w:p w14:paraId="35328D23" w14:textId="5C4B73F8" w:rsidR="00B85F48" w:rsidRPr="0095429F" w:rsidRDefault="005021A0">
            <w:pPr>
              <w:spacing w:after="140" w:line="276"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Final manuscript to publisher</w:t>
            </w:r>
          </w:p>
        </w:tc>
        <w:tc>
          <w:tcPr>
            <w:tcW w:w="4855" w:type="dxa"/>
          </w:tcPr>
          <w:p w14:paraId="6F5D4BB5" w14:textId="6DBBD8D9" w:rsidR="00B85F48" w:rsidRPr="0095429F" w:rsidRDefault="005021A0">
            <w:pPr>
              <w:spacing w:after="140" w:line="276"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Early 2028</w:t>
            </w:r>
          </w:p>
        </w:tc>
      </w:tr>
    </w:tbl>
    <w:p w14:paraId="34E219D5" w14:textId="77777777" w:rsidR="00B85F48" w:rsidRPr="0095429F" w:rsidRDefault="00B85F48">
      <w:pPr>
        <w:spacing w:after="140" w:line="276" w:lineRule="auto"/>
        <w:rPr>
          <w:rFonts w:ascii="Times New Roman" w:hAnsi="Times New Roman" w:cs="Times New Roman"/>
          <w:color w:val="000000" w:themeColor="text1"/>
          <w:sz w:val="24"/>
          <w:szCs w:val="24"/>
        </w:rPr>
      </w:pPr>
    </w:p>
    <w:p w14:paraId="68FC870E" w14:textId="7DB7D5B4" w:rsidR="005021A0" w:rsidRPr="0095429F" w:rsidRDefault="005021A0">
      <w:pPr>
        <w:spacing w:after="140" w:line="276" w:lineRule="auto"/>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 xml:space="preserve">Dates may shift slightly to match the publisher’s schedule. Publication with Peter Lang is subject to the press’s standard proposal and peer review process. </w:t>
      </w:r>
    </w:p>
    <w:p w14:paraId="7F1BCFAB" w14:textId="77777777" w:rsidR="00705B6A" w:rsidRPr="0095429F" w:rsidRDefault="00705B6A" w:rsidP="005021A0">
      <w:pPr>
        <w:spacing w:before="160" w:after="200"/>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Proposal to be submitted to Peter Lang, which has expressed interest in the project</w:t>
      </w:r>
    </w:p>
    <w:p w14:paraId="3C980CA3" w14:textId="1DE60850" w:rsidR="001454AF" w:rsidRPr="0095429F" w:rsidRDefault="005021A0" w:rsidP="005021A0">
      <w:pPr>
        <w:spacing w:after="140" w:line="276" w:lineRule="auto"/>
        <w:jc w:val="both"/>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lastRenderedPageBreak/>
        <w:t xml:space="preserve">Direct any questions and inqiries to the editor, Shiva Hari Mainaly, at </w:t>
      </w:r>
      <w:r w:rsidR="00000000" w:rsidRPr="0095429F">
        <w:rPr>
          <w:rFonts w:ascii="Times New Roman" w:hAnsi="Times New Roman" w:cs="Times New Roman"/>
          <w:b/>
          <w:bCs/>
          <w:color w:val="000000" w:themeColor="text1"/>
          <w:sz w:val="24"/>
          <w:szCs w:val="24"/>
        </w:rPr>
        <w:t>shminaly@memphis.edu</w:t>
      </w:r>
      <w:r w:rsidR="00000000" w:rsidRPr="0095429F">
        <w:rPr>
          <w:rFonts w:ascii="Times New Roman" w:hAnsi="Times New Roman" w:cs="Times New Roman"/>
          <w:color w:val="000000" w:themeColor="text1"/>
          <w:sz w:val="24"/>
          <w:szCs w:val="24"/>
        </w:rPr>
        <w:t>. Please share this call widely.</w:t>
      </w:r>
    </w:p>
    <w:p w14:paraId="5B047ECE" w14:textId="6799C926" w:rsidR="005021A0" w:rsidRPr="0095429F" w:rsidRDefault="005021A0" w:rsidP="0095429F">
      <w:pPr>
        <w:spacing w:after="100" w:line="264" w:lineRule="auto"/>
        <w:rPr>
          <w:rFonts w:ascii="Times New Roman" w:hAnsi="Times New Roman" w:cs="Times New Roman"/>
          <w:b/>
          <w:bCs/>
          <w:color w:val="000000" w:themeColor="text1"/>
          <w:sz w:val="24"/>
          <w:szCs w:val="24"/>
        </w:rPr>
      </w:pPr>
      <w:r w:rsidRPr="0095429F">
        <w:rPr>
          <w:rFonts w:ascii="Times New Roman" w:hAnsi="Times New Roman" w:cs="Times New Roman"/>
          <w:b/>
          <w:bCs/>
          <w:color w:val="000000" w:themeColor="text1"/>
          <w:sz w:val="24"/>
          <w:szCs w:val="24"/>
        </w:rPr>
        <w:t>References</w:t>
      </w:r>
    </w:p>
    <w:p w14:paraId="46E892B3" w14:textId="5D273B67" w:rsidR="001454AF" w:rsidRPr="0095429F" w:rsidRDefault="00000000">
      <w:pPr>
        <w:spacing w:after="100" w:line="264" w:lineRule="auto"/>
        <w:ind w:left="720" w:hanging="720"/>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 xml:space="preserve">Alcoff, L. (1991). The problem of speaking for others. </w:t>
      </w:r>
      <w:r w:rsidRPr="0095429F">
        <w:rPr>
          <w:rFonts w:ascii="Times New Roman" w:hAnsi="Times New Roman" w:cs="Times New Roman"/>
          <w:i/>
          <w:iCs/>
          <w:color w:val="000000" w:themeColor="text1"/>
          <w:sz w:val="24"/>
          <w:szCs w:val="24"/>
        </w:rPr>
        <w:t>Cultural Critique, 20</w:t>
      </w:r>
      <w:r w:rsidRPr="0095429F">
        <w:rPr>
          <w:rFonts w:ascii="Times New Roman" w:hAnsi="Times New Roman" w:cs="Times New Roman"/>
          <w:color w:val="000000" w:themeColor="text1"/>
          <w:sz w:val="24"/>
          <w:szCs w:val="24"/>
        </w:rPr>
        <w:t xml:space="preserve">, 5–32. </w:t>
      </w:r>
      <w:hyperlink r:id="rId5" w:history="1">
        <w:r w:rsidR="0095429F" w:rsidRPr="0095429F">
          <w:rPr>
            <w:rStyle w:val="Hyperlink"/>
            <w:rFonts w:ascii="Times New Roman" w:hAnsi="Times New Roman" w:cs="Times New Roman"/>
            <w:color w:val="000000" w:themeColor="text1"/>
            <w:sz w:val="24"/>
            <w:szCs w:val="24"/>
          </w:rPr>
          <w:t>https://doi.org/10.2307/1354221</w:t>
        </w:r>
      </w:hyperlink>
    </w:p>
    <w:p w14:paraId="6350B930" w14:textId="77777777" w:rsidR="001454AF" w:rsidRPr="0095429F" w:rsidRDefault="00000000">
      <w:pPr>
        <w:spacing w:after="100" w:line="264" w:lineRule="auto"/>
        <w:ind w:left="720" w:hanging="720"/>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 xml:space="preserve">Benjamin, R. (2019). </w:t>
      </w:r>
      <w:r w:rsidRPr="0095429F">
        <w:rPr>
          <w:rFonts w:ascii="Times New Roman" w:hAnsi="Times New Roman" w:cs="Times New Roman"/>
          <w:i/>
          <w:iCs/>
          <w:color w:val="000000" w:themeColor="text1"/>
          <w:sz w:val="24"/>
          <w:szCs w:val="24"/>
        </w:rPr>
        <w:t>Race after technology: Abolitionist tools for the New Jim Code</w:t>
      </w:r>
      <w:r w:rsidRPr="0095429F">
        <w:rPr>
          <w:rFonts w:ascii="Times New Roman" w:hAnsi="Times New Roman" w:cs="Times New Roman"/>
          <w:color w:val="000000" w:themeColor="text1"/>
          <w:sz w:val="24"/>
          <w:szCs w:val="24"/>
        </w:rPr>
        <w:t>. Polity.</w:t>
      </w:r>
    </w:p>
    <w:p w14:paraId="2ADD5050" w14:textId="77777777" w:rsidR="001454AF" w:rsidRPr="0095429F" w:rsidRDefault="00000000">
      <w:pPr>
        <w:spacing w:after="100" w:line="264" w:lineRule="auto"/>
        <w:ind w:left="720" w:hanging="720"/>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 xml:space="preserve">Chesney, R., &amp; Citron, D. (2019). Deep fakes: A looming challenge for privacy, democracy, and national security. </w:t>
      </w:r>
      <w:r w:rsidRPr="0095429F">
        <w:rPr>
          <w:rFonts w:ascii="Times New Roman" w:hAnsi="Times New Roman" w:cs="Times New Roman"/>
          <w:i/>
          <w:iCs/>
          <w:color w:val="000000" w:themeColor="text1"/>
          <w:sz w:val="24"/>
          <w:szCs w:val="24"/>
        </w:rPr>
        <w:t>California Law Review, 107</w:t>
      </w:r>
      <w:r w:rsidRPr="0095429F">
        <w:rPr>
          <w:rFonts w:ascii="Times New Roman" w:hAnsi="Times New Roman" w:cs="Times New Roman"/>
          <w:color w:val="000000" w:themeColor="text1"/>
          <w:sz w:val="24"/>
          <w:szCs w:val="24"/>
        </w:rPr>
        <w:t>(6), 1753–1820. https://doi.org/10.15779/Z38RV0D15J</w:t>
      </w:r>
    </w:p>
    <w:p w14:paraId="075ED9CB" w14:textId="77777777" w:rsidR="001454AF" w:rsidRPr="0095429F" w:rsidRDefault="00000000">
      <w:pPr>
        <w:spacing w:after="100" w:line="264" w:lineRule="auto"/>
        <w:ind w:left="720" w:hanging="720"/>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 xml:space="preserve">Derrida, J. (1994). </w:t>
      </w:r>
      <w:r w:rsidRPr="0095429F">
        <w:rPr>
          <w:rFonts w:ascii="Times New Roman" w:hAnsi="Times New Roman" w:cs="Times New Roman"/>
          <w:i/>
          <w:iCs/>
          <w:color w:val="000000" w:themeColor="text1"/>
          <w:sz w:val="24"/>
          <w:szCs w:val="24"/>
        </w:rPr>
        <w:t>Specters of Marx: The state of the debt, the work of mourning, and the New International</w:t>
      </w:r>
      <w:r w:rsidRPr="0095429F">
        <w:rPr>
          <w:rFonts w:ascii="Times New Roman" w:hAnsi="Times New Roman" w:cs="Times New Roman"/>
          <w:color w:val="000000" w:themeColor="text1"/>
          <w:sz w:val="24"/>
          <w:szCs w:val="24"/>
        </w:rPr>
        <w:t xml:space="preserve"> (P. Kamuf, Trans.). Routledge.</w:t>
      </w:r>
    </w:p>
    <w:p w14:paraId="5CD5F438" w14:textId="77777777" w:rsidR="001454AF" w:rsidRPr="0095429F" w:rsidRDefault="00000000">
      <w:pPr>
        <w:spacing w:after="100" w:line="264" w:lineRule="auto"/>
        <w:ind w:left="720" w:hanging="720"/>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 xml:space="preserve">Eidsheim, N. S. (2019). </w:t>
      </w:r>
      <w:r w:rsidRPr="0095429F">
        <w:rPr>
          <w:rFonts w:ascii="Times New Roman" w:hAnsi="Times New Roman" w:cs="Times New Roman"/>
          <w:i/>
          <w:iCs/>
          <w:color w:val="000000" w:themeColor="text1"/>
          <w:sz w:val="24"/>
          <w:szCs w:val="24"/>
        </w:rPr>
        <w:t>The race of sound: Listening, timbre, and vocality in African American music</w:t>
      </w:r>
      <w:r w:rsidRPr="0095429F">
        <w:rPr>
          <w:rFonts w:ascii="Times New Roman" w:hAnsi="Times New Roman" w:cs="Times New Roman"/>
          <w:color w:val="000000" w:themeColor="text1"/>
          <w:sz w:val="24"/>
          <w:szCs w:val="24"/>
        </w:rPr>
        <w:t>. Duke University Press.</w:t>
      </w:r>
    </w:p>
    <w:p w14:paraId="17070062" w14:textId="77777777" w:rsidR="001454AF" w:rsidRPr="0095429F" w:rsidRDefault="00000000">
      <w:pPr>
        <w:spacing w:after="100" w:line="264" w:lineRule="auto"/>
        <w:ind w:left="720" w:hanging="720"/>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 xml:space="preserve">Fricker, M. (2007). </w:t>
      </w:r>
      <w:r w:rsidRPr="0095429F">
        <w:rPr>
          <w:rFonts w:ascii="Times New Roman" w:hAnsi="Times New Roman" w:cs="Times New Roman"/>
          <w:i/>
          <w:iCs/>
          <w:color w:val="000000" w:themeColor="text1"/>
          <w:sz w:val="24"/>
          <w:szCs w:val="24"/>
        </w:rPr>
        <w:t>Epistemic injustice: Power and the ethics of knowing</w:t>
      </w:r>
      <w:r w:rsidRPr="0095429F">
        <w:rPr>
          <w:rFonts w:ascii="Times New Roman" w:hAnsi="Times New Roman" w:cs="Times New Roman"/>
          <w:color w:val="000000" w:themeColor="text1"/>
          <w:sz w:val="24"/>
          <w:szCs w:val="24"/>
        </w:rPr>
        <w:t>. Oxford University Press.</w:t>
      </w:r>
    </w:p>
    <w:p w14:paraId="02A662A2" w14:textId="228A9514" w:rsidR="001454AF" w:rsidRPr="0095429F" w:rsidRDefault="00000000">
      <w:pPr>
        <w:spacing w:after="100" w:line="264" w:lineRule="auto"/>
        <w:ind w:left="720" w:hanging="720"/>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 xml:space="preserve">Hartman, S. (2008). Venus in two acts. </w:t>
      </w:r>
      <w:r w:rsidRPr="0095429F">
        <w:rPr>
          <w:rFonts w:ascii="Times New Roman" w:hAnsi="Times New Roman" w:cs="Times New Roman"/>
          <w:i/>
          <w:iCs/>
          <w:color w:val="000000" w:themeColor="text1"/>
          <w:sz w:val="24"/>
          <w:szCs w:val="24"/>
        </w:rPr>
        <w:t>Small Axe, 12</w:t>
      </w:r>
      <w:r w:rsidRPr="0095429F">
        <w:rPr>
          <w:rFonts w:ascii="Times New Roman" w:hAnsi="Times New Roman" w:cs="Times New Roman"/>
          <w:color w:val="000000" w:themeColor="text1"/>
          <w:sz w:val="24"/>
          <w:szCs w:val="24"/>
        </w:rPr>
        <w:t xml:space="preserve">(2), 1–14. </w:t>
      </w:r>
      <w:hyperlink r:id="rId6" w:history="1">
        <w:r w:rsidR="00955978" w:rsidRPr="0095429F">
          <w:rPr>
            <w:rStyle w:val="Hyperlink"/>
            <w:rFonts w:ascii="Times New Roman" w:hAnsi="Times New Roman" w:cs="Times New Roman"/>
            <w:color w:val="000000" w:themeColor="text1"/>
            <w:sz w:val="24"/>
            <w:szCs w:val="24"/>
          </w:rPr>
          <w:t>https://doi.org/10.1215/-12-2-1</w:t>
        </w:r>
      </w:hyperlink>
    </w:p>
    <w:p w14:paraId="442288B7" w14:textId="5D86B821" w:rsidR="001454AF" w:rsidRPr="0095429F" w:rsidRDefault="00000000">
      <w:pPr>
        <w:spacing w:after="100" w:line="264" w:lineRule="auto"/>
        <w:ind w:left="720" w:hanging="720"/>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 xml:space="preserve">Hollanek, T., &amp; Nowaczyk-Basińska, K. (2024). Griefbots, deadbots, postmortem avatars: On responsible applications of generative AI in the digital afterlife industry. </w:t>
      </w:r>
      <w:r w:rsidRPr="0095429F">
        <w:rPr>
          <w:rFonts w:ascii="Times New Roman" w:hAnsi="Times New Roman" w:cs="Times New Roman"/>
          <w:i/>
          <w:iCs/>
          <w:color w:val="000000" w:themeColor="text1"/>
          <w:sz w:val="24"/>
          <w:szCs w:val="24"/>
        </w:rPr>
        <w:t>Philosophy &amp; Technology, 37</w:t>
      </w:r>
      <w:r w:rsidRPr="0095429F">
        <w:rPr>
          <w:rFonts w:ascii="Times New Roman" w:hAnsi="Times New Roman" w:cs="Times New Roman"/>
          <w:color w:val="000000" w:themeColor="text1"/>
          <w:sz w:val="24"/>
          <w:szCs w:val="24"/>
        </w:rPr>
        <w:t xml:space="preserve">, Article 63. </w:t>
      </w:r>
      <w:hyperlink r:id="rId7" w:history="1">
        <w:r w:rsidR="00955978" w:rsidRPr="0095429F">
          <w:rPr>
            <w:rStyle w:val="Hyperlink"/>
            <w:rFonts w:ascii="Times New Roman" w:hAnsi="Times New Roman" w:cs="Times New Roman"/>
            <w:color w:val="000000" w:themeColor="text1"/>
            <w:sz w:val="24"/>
            <w:szCs w:val="24"/>
          </w:rPr>
          <w:t>https://doi.org/10.1007/s13347-024-00744-w</w:t>
        </w:r>
      </w:hyperlink>
    </w:p>
    <w:p w14:paraId="7BE3A03B" w14:textId="77777777" w:rsidR="001454AF" w:rsidRPr="0095429F" w:rsidRDefault="00000000">
      <w:pPr>
        <w:spacing w:after="100" w:line="264" w:lineRule="auto"/>
        <w:ind w:left="720" w:hanging="720"/>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 xml:space="preserve">Noble, S. U. (2018). </w:t>
      </w:r>
      <w:r w:rsidRPr="0095429F">
        <w:rPr>
          <w:rFonts w:ascii="Times New Roman" w:hAnsi="Times New Roman" w:cs="Times New Roman"/>
          <w:i/>
          <w:iCs/>
          <w:color w:val="000000" w:themeColor="text1"/>
          <w:sz w:val="24"/>
          <w:szCs w:val="24"/>
        </w:rPr>
        <w:t>Algorithms of oppression: How search engines reinforce racism</w:t>
      </w:r>
      <w:r w:rsidRPr="0095429F">
        <w:rPr>
          <w:rFonts w:ascii="Times New Roman" w:hAnsi="Times New Roman" w:cs="Times New Roman"/>
          <w:color w:val="000000" w:themeColor="text1"/>
          <w:sz w:val="24"/>
          <w:szCs w:val="24"/>
        </w:rPr>
        <w:t>. NYU Press.</w:t>
      </w:r>
    </w:p>
    <w:p w14:paraId="668700C6" w14:textId="33F331F6" w:rsidR="001454AF" w:rsidRPr="0095429F" w:rsidRDefault="00000000">
      <w:pPr>
        <w:spacing w:after="100" w:line="264" w:lineRule="auto"/>
        <w:ind w:left="720" w:hanging="720"/>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 xml:space="preserve">Öhman, C., &amp; Floridi, L. (2017). The political economy of death in the age of information: A critical approach to the digital afterlife industry. </w:t>
      </w:r>
      <w:r w:rsidRPr="0095429F">
        <w:rPr>
          <w:rFonts w:ascii="Times New Roman" w:hAnsi="Times New Roman" w:cs="Times New Roman"/>
          <w:i/>
          <w:iCs/>
          <w:color w:val="000000" w:themeColor="text1"/>
          <w:sz w:val="24"/>
          <w:szCs w:val="24"/>
        </w:rPr>
        <w:t>Minds and Machines, 27</w:t>
      </w:r>
      <w:r w:rsidRPr="0095429F">
        <w:rPr>
          <w:rFonts w:ascii="Times New Roman" w:hAnsi="Times New Roman" w:cs="Times New Roman"/>
          <w:color w:val="000000" w:themeColor="text1"/>
          <w:sz w:val="24"/>
          <w:szCs w:val="24"/>
        </w:rPr>
        <w:t xml:space="preserve">(4), 639–662. </w:t>
      </w:r>
      <w:hyperlink r:id="rId8" w:history="1">
        <w:r w:rsidR="00955978" w:rsidRPr="0095429F">
          <w:rPr>
            <w:rStyle w:val="Hyperlink"/>
            <w:rFonts w:ascii="Times New Roman" w:hAnsi="Times New Roman" w:cs="Times New Roman"/>
            <w:color w:val="000000" w:themeColor="text1"/>
            <w:sz w:val="24"/>
            <w:szCs w:val="24"/>
          </w:rPr>
          <w:t>https://doi.org/10.1007/s11023-017-9445-2</w:t>
        </w:r>
      </w:hyperlink>
    </w:p>
    <w:p w14:paraId="6435AA2F" w14:textId="77777777" w:rsidR="001454AF" w:rsidRPr="0095429F" w:rsidRDefault="00000000">
      <w:pPr>
        <w:spacing w:after="100" w:line="264" w:lineRule="auto"/>
        <w:ind w:left="720" w:hanging="720"/>
        <w:rPr>
          <w:rFonts w:ascii="Times New Roman" w:hAnsi="Times New Roman" w:cs="Times New Roman"/>
          <w:color w:val="000000" w:themeColor="text1"/>
          <w:sz w:val="24"/>
          <w:szCs w:val="24"/>
        </w:rPr>
      </w:pPr>
      <w:r w:rsidRPr="0095429F">
        <w:rPr>
          <w:rFonts w:ascii="Times New Roman" w:hAnsi="Times New Roman" w:cs="Times New Roman"/>
          <w:color w:val="000000" w:themeColor="text1"/>
          <w:sz w:val="24"/>
          <w:szCs w:val="24"/>
        </w:rPr>
        <w:t xml:space="preserve">Spivak, G. C. (1988). Can the subaltern speak? In C. Nelson &amp; L. Grossberg (Eds.), </w:t>
      </w:r>
      <w:r w:rsidRPr="0095429F">
        <w:rPr>
          <w:rFonts w:ascii="Times New Roman" w:hAnsi="Times New Roman" w:cs="Times New Roman"/>
          <w:i/>
          <w:iCs/>
          <w:color w:val="000000" w:themeColor="text1"/>
          <w:sz w:val="24"/>
          <w:szCs w:val="24"/>
        </w:rPr>
        <w:t>Marxism and the interpretation of culture</w:t>
      </w:r>
      <w:r w:rsidRPr="0095429F">
        <w:rPr>
          <w:rFonts w:ascii="Times New Roman" w:hAnsi="Times New Roman" w:cs="Times New Roman"/>
          <w:color w:val="000000" w:themeColor="text1"/>
          <w:sz w:val="24"/>
          <w:szCs w:val="24"/>
        </w:rPr>
        <w:t xml:space="preserve"> (pp. 271–313). University of Illinois Press.</w:t>
      </w:r>
    </w:p>
    <w:sectPr w:rsidR="001454AF" w:rsidRPr="0095429F">
      <w:pgSz w:w="12240" w:h="15840"/>
      <w:pgMar w:top="1000" w:right="1260" w:bottom="1000" w:left="12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rmorant Garamond">
    <w:panose1 w:val="00000000000000000000"/>
    <w:charset w:val="4D"/>
    <w:family w:val="auto"/>
    <w:pitch w:val="variable"/>
    <w:sig w:usb0="A10002FF" w:usb1="0001E07B" w:usb2="00000028" w:usb3="00000000" w:csb0="00000197"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A463D"/>
    <w:multiLevelType w:val="hybridMultilevel"/>
    <w:tmpl w:val="7748A334"/>
    <w:lvl w:ilvl="0" w:tplc="04090005">
      <w:start w:val="1"/>
      <w:numFmt w:val="bullet"/>
      <w:lvlText w:val=""/>
      <w:lvlJc w:val="left"/>
      <w:pPr>
        <w:ind w:left="960" w:hanging="360"/>
      </w:pPr>
      <w:rPr>
        <w:rFonts w:ascii="Wingdings" w:hAnsi="Wingdings" w:hint="default"/>
        <w:color w:val="8C2F39"/>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383363"/>
    <w:multiLevelType w:val="hybridMultilevel"/>
    <w:tmpl w:val="1A9EAA1C"/>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 w15:restartNumberingAfterBreak="0">
    <w:nsid w:val="0F0D226D"/>
    <w:multiLevelType w:val="hybridMultilevel"/>
    <w:tmpl w:val="EA649D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7C72E3"/>
    <w:multiLevelType w:val="hybridMultilevel"/>
    <w:tmpl w:val="95FA0E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9301EC"/>
    <w:multiLevelType w:val="hybridMultilevel"/>
    <w:tmpl w:val="B4D270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F60A84"/>
    <w:multiLevelType w:val="hybridMultilevel"/>
    <w:tmpl w:val="2C6E03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CE31E6"/>
    <w:multiLevelType w:val="hybridMultilevel"/>
    <w:tmpl w:val="0E808D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7E18EC"/>
    <w:multiLevelType w:val="hybridMultilevel"/>
    <w:tmpl w:val="BAF258DA"/>
    <w:lvl w:ilvl="0" w:tplc="04090005">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8" w15:restartNumberingAfterBreak="0">
    <w:nsid w:val="46D52C03"/>
    <w:multiLevelType w:val="hybridMultilevel"/>
    <w:tmpl w:val="6B701E38"/>
    <w:lvl w:ilvl="0" w:tplc="A3B6E5EE">
      <w:start w:val="1"/>
      <w:numFmt w:val="bullet"/>
      <w:lvlText w:val="●"/>
      <w:lvlJc w:val="left"/>
      <w:pPr>
        <w:ind w:left="720" w:hanging="360"/>
      </w:pPr>
    </w:lvl>
    <w:lvl w:ilvl="1" w:tplc="8AB4B74C">
      <w:start w:val="1"/>
      <w:numFmt w:val="bullet"/>
      <w:lvlText w:val="○"/>
      <w:lvlJc w:val="left"/>
      <w:pPr>
        <w:ind w:left="1440" w:hanging="360"/>
      </w:pPr>
    </w:lvl>
    <w:lvl w:ilvl="2" w:tplc="64767C00">
      <w:start w:val="1"/>
      <w:numFmt w:val="bullet"/>
      <w:lvlText w:val="■"/>
      <w:lvlJc w:val="left"/>
      <w:pPr>
        <w:ind w:left="2160" w:hanging="360"/>
      </w:pPr>
    </w:lvl>
    <w:lvl w:ilvl="3" w:tplc="A38018CC">
      <w:start w:val="1"/>
      <w:numFmt w:val="bullet"/>
      <w:lvlText w:val="●"/>
      <w:lvlJc w:val="left"/>
      <w:pPr>
        <w:ind w:left="2880" w:hanging="360"/>
      </w:pPr>
    </w:lvl>
    <w:lvl w:ilvl="4" w:tplc="B4FA788E">
      <w:start w:val="1"/>
      <w:numFmt w:val="bullet"/>
      <w:lvlText w:val="○"/>
      <w:lvlJc w:val="left"/>
      <w:pPr>
        <w:ind w:left="3600" w:hanging="360"/>
      </w:pPr>
    </w:lvl>
    <w:lvl w:ilvl="5" w:tplc="3EAA8B40">
      <w:start w:val="1"/>
      <w:numFmt w:val="bullet"/>
      <w:lvlText w:val="■"/>
      <w:lvlJc w:val="left"/>
      <w:pPr>
        <w:ind w:left="4320" w:hanging="360"/>
      </w:pPr>
    </w:lvl>
    <w:lvl w:ilvl="6" w:tplc="AA0E5466">
      <w:start w:val="1"/>
      <w:numFmt w:val="bullet"/>
      <w:lvlText w:val="●"/>
      <w:lvlJc w:val="left"/>
      <w:pPr>
        <w:ind w:left="5040" w:hanging="360"/>
      </w:pPr>
    </w:lvl>
    <w:lvl w:ilvl="7" w:tplc="341A4E1C">
      <w:start w:val="1"/>
      <w:numFmt w:val="bullet"/>
      <w:lvlText w:val="●"/>
      <w:lvlJc w:val="left"/>
      <w:pPr>
        <w:ind w:left="5760" w:hanging="360"/>
      </w:pPr>
    </w:lvl>
    <w:lvl w:ilvl="8" w:tplc="D9E00692">
      <w:start w:val="1"/>
      <w:numFmt w:val="bullet"/>
      <w:lvlText w:val="●"/>
      <w:lvlJc w:val="left"/>
      <w:pPr>
        <w:ind w:left="6480" w:hanging="360"/>
      </w:pPr>
    </w:lvl>
  </w:abstractNum>
  <w:abstractNum w:abstractNumId="9" w15:restartNumberingAfterBreak="0">
    <w:nsid w:val="47AA11FE"/>
    <w:multiLevelType w:val="hybridMultilevel"/>
    <w:tmpl w:val="DAA2132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E935BF"/>
    <w:multiLevelType w:val="hybridMultilevel"/>
    <w:tmpl w:val="5484AC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C82866"/>
    <w:multiLevelType w:val="hybridMultilevel"/>
    <w:tmpl w:val="F95E3E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386367"/>
    <w:multiLevelType w:val="hybridMultilevel"/>
    <w:tmpl w:val="632AD0AE"/>
    <w:lvl w:ilvl="0" w:tplc="1FA41878">
      <w:start w:val="1"/>
      <w:numFmt w:val="bullet"/>
      <w:lvlText w:val="▪"/>
      <w:lvlJc w:val="left"/>
      <w:pPr>
        <w:ind w:left="540" w:hanging="300"/>
      </w:pPr>
      <w:rPr>
        <w:color w:val="8C2F39"/>
      </w:rPr>
    </w:lvl>
    <w:lvl w:ilvl="1" w:tplc="3B3A7CAA">
      <w:numFmt w:val="decimal"/>
      <w:lvlText w:val=""/>
      <w:lvlJc w:val="left"/>
    </w:lvl>
    <w:lvl w:ilvl="2" w:tplc="12EA04F0">
      <w:numFmt w:val="decimal"/>
      <w:lvlText w:val=""/>
      <w:lvlJc w:val="left"/>
    </w:lvl>
    <w:lvl w:ilvl="3" w:tplc="B8C4E6A4">
      <w:numFmt w:val="decimal"/>
      <w:lvlText w:val=""/>
      <w:lvlJc w:val="left"/>
    </w:lvl>
    <w:lvl w:ilvl="4" w:tplc="D5ACA552">
      <w:numFmt w:val="decimal"/>
      <w:lvlText w:val=""/>
      <w:lvlJc w:val="left"/>
    </w:lvl>
    <w:lvl w:ilvl="5" w:tplc="ED64961A">
      <w:numFmt w:val="decimal"/>
      <w:lvlText w:val=""/>
      <w:lvlJc w:val="left"/>
    </w:lvl>
    <w:lvl w:ilvl="6" w:tplc="F742606E">
      <w:numFmt w:val="decimal"/>
      <w:lvlText w:val=""/>
      <w:lvlJc w:val="left"/>
    </w:lvl>
    <w:lvl w:ilvl="7" w:tplc="C504AE46">
      <w:numFmt w:val="decimal"/>
      <w:lvlText w:val=""/>
      <w:lvlJc w:val="left"/>
    </w:lvl>
    <w:lvl w:ilvl="8" w:tplc="4384B5E0">
      <w:numFmt w:val="decimal"/>
      <w:lvlText w:val=""/>
      <w:lvlJc w:val="left"/>
    </w:lvl>
  </w:abstractNum>
  <w:abstractNum w:abstractNumId="13" w15:restartNumberingAfterBreak="0">
    <w:nsid w:val="6AFE6B6C"/>
    <w:multiLevelType w:val="hybridMultilevel"/>
    <w:tmpl w:val="D862A6FE"/>
    <w:lvl w:ilvl="0" w:tplc="04090005">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4" w15:restartNumberingAfterBreak="0">
    <w:nsid w:val="74AC4562"/>
    <w:multiLevelType w:val="hybridMultilevel"/>
    <w:tmpl w:val="E3BC53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455E1A"/>
    <w:multiLevelType w:val="hybridMultilevel"/>
    <w:tmpl w:val="89561024"/>
    <w:lvl w:ilvl="0" w:tplc="04090005">
      <w:start w:val="1"/>
      <w:numFmt w:val="bullet"/>
      <w:lvlText w:val=""/>
      <w:lvlJc w:val="left"/>
      <w:pPr>
        <w:ind w:left="1320" w:hanging="360"/>
      </w:pPr>
      <w:rPr>
        <w:rFonts w:ascii="Wingdings" w:hAnsi="Wingdings"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6" w15:restartNumberingAfterBreak="0">
    <w:nsid w:val="790765A0"/>
    <w:multiLevelType w:val="hybridMultilevel"/>
    <w:tmpl w:val="CC6CFB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0728948">
    <w:abstractNumId w:val="8"/>
    <w:lvlOverride w:ilvl="0">
      <w:startOverride w:val="1"/>
    </w:lvlOverride>
  </w:num>
  <w:num w:numId="2" w16cid:durableId="935282480">
    <w:abstractNumId w:val="12"/>
    <w:lvlOverride w:ilvl="0">
      <w:startOverride w:val="1"/>
    </w:lvlOverride>
  </w:num>
  <w:num w:numId="3" w16cid:durableId="1701779106">
    <w:abstractNumId w:val="1"/>
  </w:num>
  <w:num w:numId="4" w16cid:durableId="305938308">
    <w:abstractNumId w:val="13"/>
  </w:num>
  <w:num w:numId="5" w16cid:durableId="24335769">
    <w:abstractNumId w:val="12"/>
  </w:num>
  <w:num w:numId="6" w16cid:durableId="1568759872">
    <w:abstractNumId w:val="0"/>
  </w:num>
  <w:num w:numId="7" w16cid:durableId="618220271">
    <w:abstractNumId w:val="15"/>
  </w:num>
  <w:num w:numId="8" w16cid:durableId="1825661205">
    <w:abstractNumId w:val="4"/>
  </w:num>
  <w:num w:numId="9" w16cid:durableId="1777209412">
    <w:abstractNumId w:val="7"/>
  </w:num>
  <w:num w:numId="10" w16cid:durableId="934633531">
    <w:abstractNumId w:val="14"/>
  </w:num>
  <w:num w:numId="11" w16cid:durableId="1051997979">
    <w:abstractNumId w:val="9"/>
  </w:num>
  <w:num w:numId="12" w16cid:durableId="624123331">
    <w:abstractNumId w:val="11"/>
  </w:num>
  <w:num w:numId="13" w16cid:durableId="598682203">
    <w:abstractNumId w:val="6"/>
  </w:num>
  <w:num w:numId="14" w16cid:durableId="996618522">
    <w:abstractNumId w:val="16"/>
  </w:num>
  <w:num w:numId="15" w16cid:durableId="554779446">
    <w:abstractNumId w:val="5"/>
  </w:num>
  <w:num w:numId="16" w16cid:durableId="1076633183">
    <w:abstractNumId w:val="10"/>
  </w:num>
  <w:num w:numId="17" w16cid:durableId="1708602141">
    <w:abstractNumId w:val="2"/>
  </w:num>
  <w:num w:numId="18" w16cid:durableId="184866651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4AF"/>
    <w:rsid w:val="001454AF"/>
    <w:rsid w:val="001A0CBB"/>
    <w:rsid w:val="0027071B"/>
    <w:rsid w:val="005021A0"/>
    <w:rsid w:val="00705B6A"/>
    <w:rsid w:val="008E1213"/>
    <w:rsid w:val="0095429F"/>
    <w:rsid w:val="00955978"/>
    <w:rsid w:val="00A42797"/>
    <w:rsid w:val="00AB315E"/>
    <w:rsid w:val="00B85F48"/>
    <w:rsid w:val="00E86DAA"/>
  </w:rsids>
  <m:mathPr>
    <m:mathFont m:val="Cambria Math"/>
    <m:brkBin m:val="before"/>
    <m:brkBinSub m:val="--"/>
    <m:smallFrac m:val="0"/>
    <m:dispDef/>
    <m:lMargin m:val="0"/>
    <m:rMargin m:val="0"/>
    <m:defJc m:val="centerGroup"/>
    <m:wrapIndent m:val="1440"/>
    <m:intLim m:val="subSup"/>
    <m:naryLim m:val="undOvr"/>
  </m:mathPr>
  <w:themeFontLang w:val="en-001"/>
  <w:clrSchemeMapping w:bg1="light1" w:t1="dark1" w:bg2="light2" w:t2="dark2" w:accent1="accent1" w:accent2="accent2" w:accent3="accent3" w:accent4="accent4" w:accent5="accent5" w:accent6="accent6" w:hyperlink="hyperlink" w:followedHyperlink="followedHyperlink"/>
  <w:decimalSymbol w:val="."/>
  <w:listSeparator w:val=","/>
  <w14:docId w14:val="19C743C1"/>
  <w15:docId w15:val="{E81BD5CD-0AD5-E64F-BA8D-B07611658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001"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B85F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559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007/s11023-017-9445-2" TargetMode="External"/><Relationship Id="rId3" Type="http://schemas.openxmlformats.org/officeDocument/2006/relationships/settings" Target="settings.xml"/><Relationship Id="rId7" Type="http://schemas.openxmlformats.org/officeDocument/2006/relationships/hyperlink" Target="https://doi.org/10.1007/s13347-024-00744-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215/-12-2-1" TargetMode="External"/><Relationship Id="rId5" Type="http://schemas.openxmlformats.org/officeDocument/2006/relationships/hyperlink" Target="https://doi.org/10.2307/135422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1347</Words>
  <Characters>7683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Shiva Hari Mainaly (shminaly)</cp:lastModifiedBy>
  <cp:revision>2</cp:revision>
  <dcterms:created xsi:type="dcterms:W3CDTF">2026-09-29T19:19:00Z</dcterms:created>
  <dcterms:modified xsi:type="dcterms:W3CDTF">2026-09-29T19:19:00Z</dcterms:modified>
</cp:coreProperties>
</file>